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2423F" w:rsidR="00502355" w:rsidP="00502355" w:rsidRDefault="00502355" w14:paraId="07e1a6e" w14:textId="07e1a6e">
      <w:pPr>
        <w:jc w:val="center"/>
        <w15:collapsed w:val="false"/>
        <w:rPr>
          <w:bCs/>
        </w:rPr>
      </w:pPr>
      <w:bookmarkStart w:name="_GoBack" w:id="0"/>
      <w:bookmarkEnd w:id="0"/>
    </w:p>
    <w:p w:rsidRPr="0042423F" w:rsidR="00DC61AF" w:rsidP="00502355" w:rsidRDefault="00F6328A">
      <w:pPr>
        <w:jc w:val="center"/>
        <w:rPr>
          <w:b/>
        </w:rPr>
      </w:pPr>
      <w:r w:rsidRPr="0042423F">
        <w:rPr>
          <w:b/>
        </w:rPr>
        <w:t>Z A P I S N I K</w:t>
      </w:r>
    </w:p>
    <w:p w:rsidRPr="0042423F" w:rsidR="0080028D" w:rsidP="00F6328A" w:rsidRDefault="0080028D">
      <w:pPr>
        <w:jc w:val="center"/>
        <w:rPr>
          <w:b/>
          <w:bCs/>
        </w:rPr>
      </w:pPr>
    </w:p>
    <w:p w:rsidRPr="0042423F" w:rsidR="00F6328A" w:rsidP="0004681A" w:rsidRDefault="00F6328A">
      <w:pPr>
        <w:jc w:val="both"/>
      </w:pPr>
      <w:r w:rsidRPr="0042423F">
        <w:t>sastavljen kod Trgovačkog suda u Zadru, sa</w:t>
      </w:r>
      <w:r w:rsidRPr="0042423F" w:rsidR="007A606C">
        <w:t xml:space="preserve"> </w:t>
      </w:r>
      <w:r w:rsidRPr="0042423F" w:rsidR="00255534">
        <w:t>SKUPŠTINE VJEROVNIKA</w:t>
      </w:r>
      <w:r w:rsidRPr="0042423F" w:rsidR="00A145D7">
        <w:t xml:space="preserve">, u stečajnom postupku nad stečajnim dužnikom </w:t>
      </w:r>
      <w:r w:rsidRPr="0042423F" w:rsidR="00803400">
        <w:t>GORTAN-ZADAR d.o.o. u stečaju, Zadar, Andrije Hebranga 3, OIB: 72185476666</w:t>
      </w:r>
      <w:r w:rsidRPr="0042423F" w:rsidR="004B3C41">
        <w:t xml:space="preserve">, </w:t>
      </w:r>
      <w:r w:rsidRPr="0042423F" w:rsidR="00760A27">
        <w:t xml:space="preserve">dana </w:t>
      </w:r>
      <w:r w:rsidRPr="0042423F" w:rsidR="00802162">
        <w:t xml:space="preserve">11. ožujka 2020. </w:t>
      </w:r>
      <w:r w:rsidRPr="0042423F" w:rsidR="00FF4584">
        <w:t xml:space="preserve"> </w:t>
      </w:r>
    </w:p>
    <w:p w:rsidRPr="0042423F" w:rsidR="00FF4584" w:rsidP="00FF4584" w:rsidRDefault="00FF4584">
      <w:pPr>
        <w:jc w:val="both"/>
      </w:pPr>
    </w:p>
    <w:p w:rsidRPr="0042423F" w:rsidR="00F6328A" w:rsidP="00F6328A" w:rsidRDefault="00502355">
      <w:pPr>
        <w:jc w:val="both"/>
      </w:pPr>
      <w:r w:rsidRPr="0042423F">
        <w:t>Nazočni od suda</w:t>
      </w:r>
      <w:r w:rsidRPr="0042423F" w:rsidR="00F6328A">
        <w:t>:</w:t>
      </w:r>
    </w:p>
    <w:p w:rsidRPr="0042423F" w:rsidR="001A4E34" w:rsidP="00F6328A" w:rsidRDefault="00FF4584">
      <w:pPr>
        <w:jc w:val="both"/>
      </w:pPr>
      <w:r w:rsidRPr="0042423F">
        <w:t>Ana Markač</w:t>
      </w:r>
      <w:r w:rsidRPr="0042423F" w:rsidR="00502355">
        <w:t>, sutkinja</w:t>
      </w:r>
      <w:r w:rsidRPr="0042423F" w:rsidR="00F6328A">
        <w:t xml:space="preserve"> </w:t>
      </w:r>
    </w:p>
    <w:p w:rsidRPr="0042423F" w:rsidR="00F6328A" w:rsidP="00F6328A" w:rsidRDefault="00802162">
      <w:pPr>
        <w:jc w:val="both"/>
      </w:pPr>
      <w:r w:rsidRPr="0042423F">
        <w:t>Elena Glavan</w:t>
      </w:r>
      <w:r w:rsidRPr="0042423F" w:rsidR="00F6328A">
        <w:t>, zapisničar</w:t>
      </w:r>
      <w:r w:rsidRPr="0042423F" w:rsidR="00E07A70">
        <w:t>ka</w:t>
      </w:r>
    </w:p>
    <w:p w:rsidRPr="0042423F" w:rsidR="001A4E34" w:rsidP="00F6328A" w:rsidRDefault="001A4E34">
      <w:pPr>
        <w:jc w:val="both"/>
      </w:pPr>
    </w:p>
    <w:p w:rsidRPr="0042423F" w:rsidR="00F6328A" w:rsidP="0004681A" w:rsidRDefault="00F6328A">
      <w:pPr>
        <w:jc w:val="both"/>
      </w:pPr>
      <w:r w:rsidRPr="0042423F">
        <w:t xml:space="preserve">Početak u </w:t>
      </w:r>
      <w:r w:rsidRPr="0042423F" w:rsidR="00802162">
        <w:t>9,30</w:t>
      </w:r>
      <w:r w:rsidRPr="0042423F">
        <w:t xml:space="preserve"> sati.</w:t>
      </w:r>
    </w:p>
    <w:p w:rsidRPr="0042423F" w:rsidR="00F6328A" w:rsidP="00F6328A" w:rsidRDefault="00F6328A">
      <w:pPr>
        <w:jc w:val="both"/>
      </w:pPr>
    </w:p>
    <w:p w:rsidRPr="0042423F" w:rsidR="00D01733" w:rsidP="00F6328A" w:rsidRDefault="00D01733">
      <w:pPr>
        <w:jc w:val="both"/>
      </w:pPr>
      <w:r w:rsidRPr="0042423F">
        <w:t>Ročište je javno.</w:t>
      </w:r>
    </w:p>
    <w:p w:rsidRPr="0042423F" w:rsidR="00D01733" w:rsidP="00F6328A" w:rsidRDefault="00D01733">
      <w:pPr>
        <w:jc w:val="both"/>
      </w:pPr>
    </w:p>
    <w:p w:rsidRPr="0042423F" w:rsidR="00F6328A" w:rsidP="00F6328A" w:rsidRDefault="00C045DD">
      <w:pPr>
        <w:jc w:val="both"/>
      </w:pPr>
      <w:r w:rsidRPr="0042423F">
        <w:t xml:space="preserve">Utvrđuje se da </w:t>
      </w:r>
      <w:r w:rsidRPr="0042423F" w:rsidR="000A6AFE">
        <w:t xml:space="preserve">je </w:t>
      </w:r>
      <w:r w:rsidRPr="0042423F">
        <w:t>pristupi</w:t>
      </w:r>
      <w:r w:rsidRPr="0042423F" w:rsidR="00803400">
        <w:t>la</w:t>
      </w:r>
      <w:r w:rsidRPr="0042423F" w:rsidR="00C32D1C">
        <w:t xml:space="preserve"> </w:t>
      </w:r>
      <w:r w:rsidRPr="0042423F" w:rsidR="00803400">
        <w:t>Iva Petanjek</w:t>
      </w:r>
      <w:r w:rsidRPr="0042423F">
        <w:t>, stečajn</w:t>
      </w:r>
      <w:r w:rsidRPr="0042423F" w:rsidR="00803400">
        <w:t>a</w:t>
      </w:r>
      <w:r w:rsidRPr="0042423F" w:rsidR="00B1362A">
        <w:t xml:space="preserve"> upravitelj</w:t>
      </w:r>
      <w:r w:rsidRPr="0042423F" w:rsidR="00803400">
        <w:t>ica</w:t>
      </w:r>
      <w:r w:rsidRPr="0042423F" w:rsidR="00B1362A">
        <w:t>.</w:t>
      </w:r>
    </w:p>
    <w:p w:rsidRPr="0042423F" w:rsidR="00B1362A" w:rsidP="00F6328A" w:rsidRDefault="00B1362A">
      <w:pPr>
        <w:jc w:val="both"/>
      </w:pPr>
    </w:p>
    <w:p w:rsidRPr="00B66021" w:rsidR="00AC38E2" w:rsidP="00E80973" w:rsidRDefault="00675075">
      <w:pPr>
        <w:jc w:val="both"/>
      </w:pPr>
      <w:r w:rsidRPr="00B66021">
        <w:t>Z</w:t>
      </w:r>
      <w:r w:rsidRPr="00B66021" w:rsidR="00CE51CC">
        <w:t>a vjerovnike</w:t>
      </w:r>
      <w:r w:rsidRPr="00B66021" w:rsidR="00AD0536">
        <w:t>:</w:t>
      </w:r>
    </w:p>
    <w:p w:rsidRPr="00B66021" w:rsidR="00675075" w:rsidP="00662D00" w:rsidRDefault="00937EAD">
      <w:pPr>
        <w:pStyle w:val="Odlomakpopisa"/>
        <w:numPr>
          <w:ilvl w:val="0"/>
          <w:numId w:val="1"/>
        </w:numPr>
        <w:ind w:left="720"/>
        <w:jc w:val="both"/>
      </w:pPr>
      <w:r>
        <w:t>REPUBLIKA HRVATSKA</w:t>
      </w:r>
      <w:r w:rsidRPr="00B66021" w:rsidR="00675075">
        <w:t>,</w:t>
      </w:r>
      <w:r w:rsidRPr="00B66021" w:rsidR="00035448">
        <w:t xml:space="preserve"> </w:t>
      </w:r>
      <w:r w:rsidRPr="00B66021" w:rsidR="00675075">
        <w:t>Ministarstvo financija, Porezna</w:t>
      </w:r>
      <w:r>
        <w:t xml:space="preserve"> uprava, Područni ured Zadar</w:t>
      </w:r>
      <w:r w:rsidRPr="00B66021" w:rsidR="00675075">
        <w:t xml:space="preserve">, </w:t>
      </w:r>
      <w:r w:rsidRPr="00B66021" w:rsidR="00CE3C4F">
        <w:t xml:space="preserve">Lidija Vitaljić </w:t>
      </w:r>
      <w:r w:rsidRPr="00B66021" w:rsidR="00035448">
        <w:t>– zamjenica Ž</w:t>
      </w:r>
      <w:r w:rsidRPr="00B66021" w:rsidR="00CE3C4F">
        <w:t>upanijskog državnog odvjetnika u Zadru</w:t>
      </w:r>
    </w:p>
    <w:p w:rsidRPr="00B66021" w:rsidR="00CE3C4F" w:rsidP="00662D00" w:rsidRDefault="00CE3C4F">
      <w:pPr>
        <w:pStyle w:val="Odlomakpopisa"/>
        <w:numPr>
          <w:ilvl w:val="0"/>
          <w:numId w:val="1"/>
        </w:numPr>
        <w:ind w:left="720"/>
        <w:jc w:val="both"/>
      </w:pPr>
      <w:r w:rsidRPr="00B66021">
        <w:t>OTP BANKA HRVATSKA d.d. – po punomoćniku</w:t>
      </w:r>
      <w:r w:rsidRPr="00B66021" w:rsidR="00A44D58">
        <w:t xml:space="preserve"> Tomislavu Šiško, odvjetniku u </w:t>
      </w:r>
      <w:r w:rsidRPr="00B66021" w:rsidR="00B66021">
        <w:t xml:space="preserve">OD Šiško i partneri d.o.o. </w:t>
      </w:r>
      <w:r w:rsidRPr="00B66021" w:rsidR="00A44D58">
        <w:t>Split</w:t>
      </w:r>
    </w:p>
    <w:p w:rsidRPr="00B66021" w:rsidR="00A44D58" w:rsidP="00662D00" w:rsidRDefault="00A44D58">
      <w:pPr>
        <w:pStyle w:val="Odlomakpopisa"/>
        <w:numPr>
          <w:ilvl w:val="0"/>
          <w:numId w:val="1"/>
        </w:numPr>
        <w:ind w:left="720"/>
        <w:jc w:val="both"/>
      </w:pPr>
      <w:r w:rsidRPr="00B66021">
        <w:t>Ana Smoljan Zanki, odvjetnica</w:t>
      </w:r>
    </w:p>
    <w:p w:rsidRPr="00B66021" w:rsidR="00E4356E" w:rsidP="00662D00" w:rsidRDefault="00B4413B">
      <w:pPr>
        <w:pStyle w:val="Odlomakpopisa"/>
        <w:numPr>
          <w:ilvl w:val="0"/>
          <w:numId w:val="1"/>
        </w:numPr>
        <w:ind w:left="720"/>
        <w:jc w:val="both"/>
      </w:pPr>
      <w:r w:rsidRPr="00B66021">
        <w:t>ERSTE&amp;STEIERMARKISCHE BANK d.d., Rijeka po zamjenici punomoćnika Ani Padrenostro, odvjetnici u Zadru, prileži zamjenička punomoć spisu</w:t>
      </w:r>
    </w:p>
    <w:p w:rsidRPr="00B66021" w:rsidR="00A44D58" w:rsidP="00662D00" w:rsidRDefault="00A44D58">
      <w:pPr>
        <w:pStyle w:val="Odlomakpopisa"/>
        <w:numPr>
          <w:ilvl w:val="0"/>
          <w:numId w:val="1"/>
        </w:numPr>
        <w:ind w:left="720"/>
        <w:jc w:val="both"/>
      </w:pPr>
      <w:r w:rsidRPr="00B66021">
        <w:t xml:space="preserve">HRVATSKE ŠUME d.o.o. Zagreb, po </w:t>
      </w:r>
      <w:r w:rsidRPr="00B66021" w:rsidR="00B66021">
        <w:t>punomoćnici Katarina Kranjčević Zanki</w:t>
      </w:r>
      <w:r w:rsidRPr="00B66021">
        <w:t xml:space="preserve">, </w:t>
      </w:r>
      <w:r w:rsidRPr="00B66021" w:rsidR="00B66021">
        <w:t xml:space="preserve">odvjetnička vježbenica kod Klaudije Šopić, odvjetnice u Zadru, zamjenička punomoć već prileži spisu </w:t>
      </w:r>
    </w:p>
    <w:p w:rsidRPr="00B66021" w:rsidR="00B66021" w:rsidP="00B66021" w:rsidRDefault="00B66021">
      <w:pPr>
        <w:pStyle w:val="Odlomakpopisa"/>
        <w:numPr>
          <w:ilvl w:val="0"/>
          <w:numId w:val="1"/>
        </w:numPr>
        <w:ind w:left="720"/>
        <w:jc w:val="both"/>
      </w:pPr>
      <w:r w:rsidRPr="00B66021">
        <w:t>GRAD ZADAR, po punomoćnici Gordani Knezović, odvjetnici u Zagrebu, punomoć prileži spisu</w:t>
      </w:r>
    </w:p>
    <w:p w:rsidRPr="0042423F" w:rsidR="00A44D58" w:rsidP="00A44D58" w:rsidRDefault="00A44D58">
      <w:pPr>
        <w:jc w:val="both"/>
      </w:pPr>
    </w:p>
    <w:p w:rsidRPr="0042423F" w:rsidR="00A44D58" w:rsidP="00A44D58" w:rsidRDefault="00A44D58">
      <w:pPr>
        <w:jc w:val="both"/>
      </w:pPr>
      <w:r w:rsidRPr="0042423F">
        <w:t>Javnost:</w:t>
      </w:r>
    </w:p>
    <w:p w:rsidR="00675075" w:rsidP="00675075" w:rsidRDefault="00B66021">
      <w:pPr>
        <w:jc w:val="both"/>
        <w:rPr>
          <w:i/>
        </w:rPr>
      </w:pPr>
      <w:r>
        <w:rPr>
          <w:i/>
        </w:rPr>
        <w:t>Ivan Jurjević</w:t>
      </w:r>
    </w:p>
    <w:p w:rsidRPr="0042423F" w:rsidR="00B66021" w:rsidP="00675075" w:rsidRDefault="00B66021">
      <w:pPr>
        <w:jc w:val="both"/>
        <w:rPr>
          <w:i/>
        </w:rPr>
      </w:pPr>
    </w:p>
    <w:p w:rsidRPr="0042423F" w:rsidR="00675075" w:rsidP="00675075" w:rsidRDefault="00675075">
      <w:pPr>
        <w:jc w:val="both"/>
        <w:rPr>
          <w:i/>
        </w:rPr>
      </w:pPr>
      <w:r w:rsidRPr="0042423F">
        <w:rPr>
          <w:i/>
        </w:rPr>
        <w:t>Sudionici stečajnog postupka upozoravaju se na posljedice u smislu odredbi čl. 317. i 318. važećeg Zakona o parničnom postupk</w:t>
      </w:r>
      <w:r w:rsidRPr="0042423F" w:rsidR="00802162">
        <w:rPr>
          <w:i/>
        </w:rPr>
        <w:t xml:space="preserve">u (Narodne novine broj: 25/13, </w:t>
      </w:r>
      <w:r w:rsidRPr="0042423F">
        <w:rPr>
          <w:i/>
        </w:rPr>
        <w:t>89/14</w:t>
      </w:r>
      <w:r w:rsidRPr="0042423F" w:rsidR="00802162">
        <w:rPr>
          <w:i/>
        </w:rPr>
        <w:t xml:space="preserve"> i 70/19 </w:t>
      </w:r>
      <w:r w:rsidRPr="0042423F">
        <w:rPr>
          <w:i/>
        </w:rPr>
        <w:t xml:space="preserve">-dalje ZPP) čija pravila se u slučaju vrijeđanja suda ili drugih sudionika postupka, ometanja rada suda ili nepoštivanja naredbi suda za održavanje reda na skupštini, na odgovarajući način primjenjuju i u ovom postupku. </w:t>
      </w:r>
    </w:p>
    <w:p w:rsidRPr="0042423F" w:rsidR="00675075" w:rsidP="00675075" w:rsidRDefault="00675075">
      <w:pPr>
        <w:jc w:val="both"/>
      </w:pPr>
    </w:p>
    <w:p w:rsidRPr="0042423F" w:rsidR="00C32D1C" w:rsidP="00675075" w:rsidRDefault="00255534">
      <w:pPr>
        <w:jc w:val="both"/>
      </w:pPr>
      <w:r w:rsidRPr="0042423F">
        <w:t>Utvrđuje se da je oglas o održavanju današnje</w:t>
      </w:r>
      <w:r w:rsidRPr="0042423F" w:rsidR="00794B34">
        <w:t xml:space="preserve"> skupštine</w:t>
      </w:r>
      <w:r w:rsidRPr="0042423F">
        <w:t xml:space="preserve"> </w:t>
      </w:r>
      <w:r w:rsidRPr="0042423F" w:rsidR="006D16D7">
        <w:t xml:space="preserve">objavljen </w:t>
      </w:r>
      <w:r w:rsidRPr="0042423F" w:rsidR="00675075">
        <w:t xml:space="preserve">na mrežnoj </w:t>
      </w:r>
      <w:r w:rsidRPr="0042423F" w:rsidR="005D2987">
        <w:t xml:space="preserve">stranici </w:t>
      </w:r>
      <w:r w:rsidRPr="0042423F" w:rsidR="00675075">
        <w:t>e-O</w:t>
      </w:r>
      <w:r w:rsidRPr="0042423F" w:rsidR="00FF4584">
        <w:t>glasn</w:t>
      </w:r>
      <w:r w:rsidRPr="0042423F" w:rsidR="00246CAC">
        <w:t>a</w:t>
      </w:r>
      <w:r w:rsidRPr="0042423F" w:rsidR="00FF4584">
        <w:t xml:space="preserve"> plo</w:t>
      </w:r>
      <w:r w:rsidRPr="0042423F" w:rsidR="00246CAC">
        <w:t>ča</w:t>
      </w:r>
      <w:r w:rsidRPr="0042423F" w:rsidR="00675075">
        <w:t xml:space="preserve"> </w:t>
      </w:r>
      <w:r w:rsidRPr="0042423F" w:rsidR="00C32D1C">
        <w:t>sud</w:t>
      </w:r>
      <w:r w:rsidRPr="0042423F" w:rsidR="00246CAC">
        <w:t>ova</w:t>
      </w:r>
      <w:r w:rsidRPr="0042423F" w:rsidR="00675075">
        <w:t>,</w:t>
      </w:r>
      <w:r w:rsidRPr="0042423F" w:rsidR="00C32D1C">
        <w:t xml:space="preserve"> dana </w:t>
      </w:r>
      <w:r w:rsidRPr="0042423F" w:rsidR="00802162">
        <w:t>12. veljače 2020.</w:t>
      </w:r>
      <w:r w:rsidRPr="0042423F" w:rsidR="00730BAC">
        <w:t xml:space="preserve"> sa slijedećim dnevnim redom:</w:t>
      </w:r>
      <w:r w:rsidRPr="0042423F" w:rsidR="00FF4584">
        <w:t xml:space="preserve"> </w:t>
      </w:r>
    </w:p>
    <w:p w:rsidRPr="0042423F" w:rsidR="00803400" w:rsidP="000071B5" w:rsidRDefault="00803400">
      <w:pPr>
        <w:jc w:val="both"/>
      </w:pPr>
    </w:p>
    <w:p w:rsidRPr="0042423F" w:rsidR="0042423F" w:rsidP="00662D00" w:rsidRDefault="0042423F">
      <w:pPr>
        <w:pStyle w:val="Odlomakpopisa"/>
        <w:numPr>
          <w:ilvl w:val="0"/>
          <w:numId w:val="2"/>
        </w:numPr>
        <w:contextualSpacing w:val="false"/>
        <w:jc w:val="both"/>
      </w:pPr>
      <w:r w:rsidRPr="0042423F">
        <w:t xml:space="preserve">Donošenje odluke o prijedlogu stečajne upraviteljice za povlačenje tužbe stečajnog dužnika protiv Grada Zadra u predmetu Trgovačkog suda u Zadru, poslovni broj P-233/2014. </w:t>
      </w:r>
    </w:p>
    <w:p w:rsidR="0042423F" w:rsidP="00662D00" w:rsidRDefault="0042423F">
      <w:pPr>
        <w:pStyle w:val="Odlomakpopisa"/>
        <w:numPr>
          <w:ilvl w:val="0"/>
          <w:numId w:val="2"/>
        </w:numPr>
        <w:contextualSpacing w:val="false"/>
        <w:jc w:val="both"/>
      </w:pPr>
      <w:r w:rsidRPr="0042423F">
        <w:t xml:space="preserve">Donošenje odluke o prijedlogu stečajne upraviteljice za povlačenje tužbe stečajnog dužnika protiv Lignum d.o.o. u predmetu Trgovačkog suda u Zadru, poslovni broj P-18/2017. </w:t>
      </w:r>
    </w:p>
    <w:p w:rsidR="007421CB" w:rsidP="007421CB" w:rsidRDefault="007421CB">
      <w:pPr>
        <w:jc w:val="both"/>
      </w:pPr>
    </w:p>
    <w:p w:rsidRPr="0042423F" w:rsidR="007421CB" w:rsidP="007421CB" w:rsidRDefault="007421CB">
      <w:pPr>
        <w:jc w:val="both"/>
      </w:pPr>
      <w:r>
        <w:lastRenderedPageBreak/>
        <w:t>Stečajna upraviteljica navodi da je u međuvremenu došlo do djelomičnog namirenja tražbina i t</w:t>
      </w:r>
      <w:r w:rsidR="00937EAD">
        <w:t xml:space="preserve">o vjerovnika REPUBLIKA HRVATSKA, </w:t>
      </w:r>
      <w:r w:rsidRPr="00B66021" w:rsidR="00937EAD">
        <w:t xml:space="preserve">Ministarstvo financija, Porezna </w:t>
      </w:r>
      <w:r w:rsidR="00937EAD">
        <w:t xml:space="preserve">uprava, Područni ured Zadar koja je utvrđena u iznosu od 31.601.308,03 kn, a koja nakon djelomičnog namirenja sada iznosi 31.496.847,48 kn. Nadalje, djelomično je namirena i tražbina vjerovnika OTP BANKA HRVATSKA d.d. </w:t>
      </w:r>
      <w:r w:rsidR="00937EAD">
        <w:rPr>
          <w:sz w:val="22"/>
        </w:rPr>
        <w:t>Split</w:t>
      </w:r>
      <w:r w:rsidRPr="00937EAD" w:rsidR="00937EAD">
        <w:rPr>
          <w:sz w:val="22"/>
        </w:rPr>
        <w:t xml:space="preserve"> </w:t>
      </w:r>
      <w:r w:rsidR="00937EAD">
        <w:t>koja je iznosila 83.586.150,97 kn, a nakon djelomičnog namirenja ista iznosi 71.001.793,17 kn.</w:t>
      </w:r>
    </w:p>
    <w:p w:rsidRPr="0042423F" w:rsidR="00207B3E" w:rsidP="00CE481E" w:rsidRDefault="00207B3E">
      <w:pPr>
        <w:jc w:val="both"/>
      </w:pPr>
    </w:p>
    <w:p w:rsidRPr="0042423F" w:rsidR="00CE481E" w:rsidP="00CE481E" w:rsidRDefault="00675075">
      <w:pPr>
        <w:jc w:val="both"/>
      </w:pPr>
      <w:r w:rsidRPr="0042423F">
        <w:t>U</w:t>
      </w:r>
      <w:r w:rsidRPr="0042423F" w:rsidR="00CE481E">
        <w:t>tv</w:t>
      </w:r>
      <w:r w:rsidRPr="0042423F" w:rsidR="00502355">
        <w:t>rđuje</w:t>
      </w:r>
      <w:r w:rsidRPr="0042423F">
        <w:t xml:space="preserve"> se</w:t>
      </w:r>
      <w:r w:rsidRPr="0042423F" w:rsidR="00502355">
        <w:t xml:space="preserve"> postotak glasova nazočnih</w:t>
      </w:r>
      <w:r w:rsidRPr="0042423F">
        <w:t xml:space="preserve"> vjerovnika </w:t>
      </w:r>
      <w:r w:rsidRPr="0042423F" w:rsidR="00CE481E">
        <w:t>na današnjoj skupštini.</w:t>
      </w:r>
    </w:p>
    <w:tbl>
      <w:tblPr>
        <w:tblW w:w="13038" w:type="dxa"/>
        <w:tblLook w:firstRow="1" w:lastRow="0" w:firstColumn="1" w:lastColumn="0" w:noHBand="0" w:noVBand="1" w:val="04A0"/>
      </w:tblPr>
      <w:tblGrid>
        <w:gridCol w:w="621"/>
        <w:gridCol w:w="4180"/>
        <w:gridCol w:w="1885"/>
        <w:gridCol w:w="2200"/>
        <w:gridCol w:w="1272"/>
        <w:gridCol w:w="960"/>
        <w:gridCol w:w="960"/>
        <w:gridCol w:w="960"/>
      </w:tblGrid>
      <w:tr w:rsidR="00937EAD" w:rsidTr="00937EAD">
        <w:trPr>
          <w:trHeight w:val="255"/>
        </w:trPr>
        <w:tc>
          <w:tcPr>
            <w:tcW w:w="621" w:type="dxa"/>
            <w:tcBorders>
              <w:top w:val="nil"/>
              <w:left w:val="nil"/>
              <w:bottom w:val="nil"/>
              <w:right w:val="nil"/>
            </w:tcBorders>
            <w:shd w:val="clear" w:color="auto" w:fill="auto"/>
            <w:noWrap/>
            <w:vAlign w:val="bottom"/>
            <w:hideMark/>
          </w:tcPr>
          <w:p w:rsidR="00937EAD" w:rsidRDefault="00937EAD">
            <w:pPr>
              <w:rPr>
                <w:sz w:val="20"/>
                <w:szCs w:val="20"/>
              </w:rPr>
            </w:pPr>
          </w:p>
        </w:tc>
        <w:tc>
          <w:tcPr>
            <w:tcW w:w="4180" w:type="dxa"/>
            <w:tcBorders>
              <w:top w:val="nil"/>
              <w:left w:val="nil"/>
              <w:bottom w:val="nil"/>
              <w:right w:val="nil"/>
            </w:tcBorders>
            <w:shd w:val="clear" w:color="auto" w:fill="auto"/>
            <w:noWrap/>
            <w:vAlign w:val="bottom"/>
            <w:hideMark/>
          </w:tcPr>
          <w:p w:rsidR="00937EAD" w:rsidRDefault="00937EAD">
            <w:pPr>
              <w:rPr>
                <w:sz w:val="20"/>
                <w:szCs w:val="20"/>
              </w:rPr>
            </w:pPr>
          </w:p>
        </w:tc>
        <w:tc>
          <w:tcPr>
            <w:tcW w:w="1885" w:type="dxa"/>
            <w:tcBorders>
              <w:top w:val="nil"/>
              <w:left w:val="nil"/>
              <w:bottom w:val="nil"/>
              <w:right w:val="nil"/>
            </w:tcBorders>
            <w:shd w:val="clear" w:color="auto" w:fill="auto"/>
            <w:noWrap/>
            <w:vAlign w:val="bottom"/>
            <w:hideMark/>
          </w:tcPr>
          <w:p w:rsidR="00937EAD" w:rsidRDefault="00937EAD">
            <w:pPr>
              <w:rPr>
                <w:sz w:val="20"/>
                <w:szCs w:val="20"/>
              </w:rPr>
            </w:pPr>
          </w:p>
        </w:tc>
        <w:tc>
          <w:tcPr>
            <w:tcW w:w="2200" w:type="dxa"/>
            <w:tcBorders>
              <w:top w:val="nil"/>
              <w:left w:val="nil"/>
              <w:bottom w:val="nil"/>
              <w:right w:val="nil"/>
            </w:tcBorders>
            <w:shd w:val="clear" w:color="auto" w:fill="auto"/>
            <w:noWrap/>
            <w:vAlign w:val="bottom"/>
            <w:hideMark/>
          </w:tcPr>
          <w:p w:rsidR="00937EAD" w:rsidRDefault="00937EAD">
            <w:pPr>
              <w:rPr>
                <w:sz w:val="20"/>
                <w:szCs w:val="20"/>
              </w:rPr>
            </w:pPr>
          </w:p>
        </w:tc>
        <w:tc>
          <w:tcPr>
            <w:tcW w:w="1272" w:type="dxa"/>
            <w:tcBorders>
              <w:top w:val="nil"/>
              <w:left w:val="nil"/>
              <w:bottom w:val="nil"/>
              <w:right w:val="nil"/>
            </w:tcBorders>
            <w:shd w:val="clear" w:color="auto" w:fill="auto"/>
            <w:noWrap/>
            <w:vAlign w:val="bottom"/>
            <w:hideMark/>
          </w:tcPr>
          <w:p w:rsidR="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RDefault="00937EAD">
            <w:pPr>
              <w:rPr>
                <w:sz w:val="20"/>
                <w:szCs w:val="20"/>
              </w:rPr>
            </w:pPr>
          </w:p>
        </w:tc>
      </w:tr>
      <w:tr w:rsidR="00937EAD" w:rsidTr="00937EAD">
        <w:trPr>
          <w:trHeight w:val="360"/>
        </w:trPr>
        <w:tc>
          <w:tcPr>
            <w:tcW w:w="6686" w:type="dxa"/>
            <w:gridSpan w:val="3"/>
            <w:tcBorders>
              <w:top w:val="nil"/>
              <w:left w:val="nil"/>
              <w:bottom w:val="nil"/>
              <w:right w:val="nil"/>
            </w:tcBorders>
            <w:shd w:val="clear" w:color="auto" w:fill="auto"/>
            <w:noWrap/>
            <w:vAlign w:val="bottom"/>
            <w:hideMark/>
          </w:tcPr>
          <w:p w:rsidR="00937EAD" w:rsidRDefault="00937EAD">
            <w:pPr>
              <w:jc w:val="center"/>
              <w:rPr>
                <w:rFonts w:ascii="Arial" w:hAnsi="Arial" w:cs="Arial"/>
                <w:b/>
                <w:bCs/>
              </w:rPr>
            </w:pPr>
            <w:r>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00937EAD" w:rsidRDefault="00937EAD">
            <w:pPr>
              <w:jc w:val="right"/>
              <w:rPr>
                <w:rFonts w:ascii="Arial" w:hAnsi="Arial" w:cs="Arial"/>
                <w:b/>
                <w:bCs/>
                <w:color w:val="000000"/>
                <w:sz w:val="28"/>
                <w:szCs w:val="28"/>
              </w:rPr>
            </w:pPr>
            <w:r>
              <w:rPr>
                <w:rFonts w:ascii="Arial" w:hAnsi="Arial" w:cs="Arial"/>
                <w:b/>
                <w:bCs/>
                <w:color w:val="000000"/>
                <w:sz w:val="28"/>
                <w:szCs w:val="28"/>
              </w:rPr>
              <w:t>133.902.505,03</w:t>
            </w:r>
          </w:p>
        </w:tc>
        <w:tc>
          <w:tcPr>
            <w:tcW w:w="1272" w:type="dxa"/>
            <w:tcBorders>
              <w:top w:val="nil"/>
              <w:left w:val="nil"/>
              <w:bottom w:val="nil"/>
              <w:right w:val="nil"/>
            </w:tcBorders>
            <w:shd w:val="clear" w:color="auto" w:fill="auto"/>
            <w:noWrap/>
            <w:vAlign w:val="bottom"/>
            <w:hideMark/>
          </w:tcPr>
          <w:p w:rsidR="00937EAD" w:rsidRDefault="00937EAD">
            <w:pPr>
              <w:jc w:val="right"/>
              <w:rPr>
                <w:rFonts w:ascii="Arial" w:hAnsi="Arial" w:cs="Arial"/>
                <w:b/>
                <w:bCs/>
                <w:color w:val="000000"/>
                <w:sz w:val="28"/>
                <w:szCs w:val="28"/>
              </w:rPr>
            </w:pPr>
          </w:p>
        </w:tc>
        <w:tc>
          <w:tcPr>
            <w:tcW w:w="960" w:type="dxa"/>
            <w:tcBorders>
              <w:top w:val="nil"/>
              <w:left w:val="nil"/>
              <w:bottom w:val="nil"/>
              <w:right w:val="nil"/>
            </w:tcBorders>
            <w:shd w:val="clear" w:color="auto" w:fill="auto"/>
            <w:noWrap/>
            <w:vAlign w:val="bottom"/>
            <w:hideMark/>
          </w:tcPr>
          <w:p w:rsidR="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RDefault="00937EAD">
            <w:pPr>
              <w:rPr>
                <w:sz w:val="20"/>
                <w:szCs w:val="20"/>
              </w:rPr>
            </w:pPr>
          </w:p>
        </w:tc>
      </w:tr>
      <w:tr w:rsidR="00937EAD" w:rsidTr="00937EAD">
        <w:trPr>
          <w:trHeight w:val="300"/>
        </w:trPr>
        <w:tc>
          <w:tcPr>
            <w:tcW w:w="621"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4180"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1885"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b/>
                <w:bCs/>
                <w:i/>
                <w:iCs/>
                <w:color w:val="FF0000"/>
              </w:rPr>
            </w:pPr>
            <w:r>
              <w:rPr>
                <w:rFonts w:ascii="Arial" w:hAnsi="Arial" w:cs="Arial"/>
                <w:b/>
                <w:bCs/>
                <w:i/>
                <w:iCs/>
                <w:color w:val="FF0000"/>
              </w:rPr>
              <w:t>127.215.463,49</w:t>
            </w:r>
          </w:p>
        </w:tc>
        <w:tc>
          <w:tcPr>
            <w:tcW w:w="220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b/>
                <w:bCs/>
                <w:i/>
                <w:iCs/>
                <w:color w:val="993300"/>
              </w:rPr>
            </w:pPr>
            <w:r>
              <w:rPr>
                <w:rFonts w:ascii="Arial" w:hAnsi="Arial" w:cs="Arial"/>
                <w:b/>
                <w:bCs/>
                <w:i/>
                <w:iCs/>
                <w:color w:val="993300"/>
              </w:rPr>
              <w:t>95,01</w:t>
            </w:r>
          </w:p>
        </w:tc>
        <w:tc>
          <w:tcPr>
            <w:tcW w:w="1272"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b/>
                <w:bCs/>
                <w:i/>
                <w:iCs/>
                <w:color w:val="0000FF"/>
              </w:rPr>
            </w:pPr>
            <w:r>
              <w:rPr>
                <w:rFonts w:ascii="Arial" w:hAnsi="Arial" w:cs="Arial"/>
                <w:b/>
                <w:bCs/>
                <w:i/>
                <w:iCs/>
                <w:color w:val="0000FF"/>
              </w:rPr>
              <w:t>100,00</w:t>
            </w:r>
          </w:p>
        </w:tc>
        <w:tc>
          <w:tcPr>
            <w:tcW w:w="96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b/>
                <w:bCs/>
                <w:i/>
                <w:iCs/>
                <w:color w:val="0000FF"/>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r>
      <w:tr w:rsidR="00937EAD" w:rsidTr="00937EAD">
        <w:trPr>
          <w:trHeight w:val="255"/>
        </w:trPr>
        <w:tc>
          <w:tcPr>
            <w:tcW w:w="621" w:type="dxa"/>
            <w:vMerge w:val="restart"/>
            <w:tcBorders>
              <w:top w:val="nil"/>
              <w:left w:val="nil"/>
              <w:bottom w:val="nil"/>
              <w:right w:val="nil"/>
            </w:tcBorders>
            <w:shd w:val="clear" w:color="auto" w:fill="auto"/>
            <w:vAlign w:val="center"/>
            <w:hideMark/>
          </w:tcPr>
          <w:p w:rsidR="00937EAD" w:rsidP="00937EAD" w:rsidRDefault="00937EAD">
            <w:pPr>
              <w:jc w:val="center"/>
              <w:rPr>
                <w:rFonts w:ascii="Arial" w:hAnsi="Arial" w:cs="Arial"/>
                <w:b/>
                <w:bCs/>
                <w:sz w:val="28"/>
                <w:szCs w:val="28"/>
              </w:rPr>
            </w:pPr>
            <w:r>
              <w:rPr>
                <w:rFonts w:ascii="Arial" w:hAnsi="Arial" w:cs="Arial"/>
                <w:b/>
                <w:bCs/>
                <w:sz w:val="28"/>
                <w:szCs w:val="28"/>
              </w:rPr>
              <w:t>RB</w:t>
            </w:r>
          </w:p>
        </w:tc>
        <w:tc>
          <w:tcPr>
            <w:tcW w:w="4180" w:type="dxa"/>
            <w:vMerge w:val="restart"/>
            <w:tcBorders>
              <w:top w:val="nil"/>
              <w:left w:val="nil"/>
              <w:bottom w:val="nil"/>
              <w:right w:val="nil"/>
            </w:tcBorders>
            <w:shd w:val="clear" w:color="auto" w:fill="auto"/>
            <w:vAlign w:val="center"/>
            <w:hideMark/>
          </w:tcPr>
          <w:p w:rsidR="00937EAD" w:rsidP="00937EAD" w:rsidRDefault="00937EAD">
            <w:pPr>
              <w:jc w:val="center"/>
              <w:rPr>
                <w:rFonts w:ascii="Arial" w:hAnsi="Arial" w:cs="Arial"/>
                <w:b/>
                <w:bCs/>
                <w:sz w:val="22"/>
                <w:szCs w:val="22"/>
              </w:rPr>
            </w:pPr>
            <w:r>
              <w:rPr>
                <w:rFonts w:ascii="Arial" w:hAnsi="Arial" w:cs="Arial"/>
                <w:b/>
                <w:bCs/>
                <w:sz w:val="22"/>
                <w:szCs w:val="22"/>
              </w:rPr>
              <w:t>Prisutni  na SKUPŠTINI</w:t>
            </w:r>
          </w:p>
        </w:tc>
        <w:tc>
          <w:tcPr>
            <w:tcW w:w="1885" w:type="dxa"/>
            <w:vMerge w:val="restart"/>
            <w:tcBorders>
              <w:top w:val="nil"/>
              <w:left w:val="nil"/>
              <w:bottom w:val="nil"/>
              <w:right w:val="nil"/>
            </w:tcBorders>
            <w:shd w:val="clear" w:color="auto" w:fill="auto"/>
            <w:vAlign w:val="center"/>
            <w:hideMark/>
          </w:tcPr>
          <w:p w:rsidR="00937EAD" w:rsidP="00937EAD" w:rsidRDefault="00937EAD">
            <w:pPr>
              <w:jc w:val="center"/>
              <w:rPr>
                <w:rFonts w:ascii="Arial" w:hAnsi="Arial" w:cs="Arial"/>
                <w:b/>
                <w:bCs/>
                <w:color w:val="FF0000"/>
                <w:sz w:val="28"/>
                <w:szCs w:val="28"/>
              </w:rPr>
            </w:pPr>
            <w:r>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00937EAD" w:rsidP="00937EAD" w:rsidRDefault="00937EAD">
            <w:pPr>
              <w:jc w:val="center"/>
              <w:rPr>
                <w:rFonts w:ascii="Arial" w:hAnsi="Arial" w:cs="Arial"/>
                <w:b/>
                <w:bCs/>
                <w:color w:val="993300"/>
                <w:sz w:val="28"/>
                <w:szCs w:val="28"/>
              </w:rPr>
            </w:pPr>
            <w:r>
              <w:rPr>
                <w:rFonts w:ascii="Arial" w:hAnsi="Arial" w:cs="Arial"/>
                <w:b/>
                <w:bCs/>
                <w:color w:val="993300"/>
                <w:sz w:val="28"/>
                <w:szCs w:val="28"/>
              </w:rPr>
              <w:t>Postotak</w:t>
            </w:r>
          </w:p>
        </w:tc>
        <w:tc>
          <w:tcPr>
            <w:tcW w:w="1272" w:type="dxa"/>
            <w:vMerge w:val="restart"/>
            <w:tcBorders>
              <w:top w:val="nil"/>
              <w:left w:val="nil"/>
              <w:bottom w:val="nil"/>
              <w:right w:val="nil"/>
            </w:tcBorders>
            <w:shd w:val="clear" w:color="auto" w:fill="auto"/>
            <w:vAlign w:val="center"/>
            <w:hideMark/>
          </w:tcPr>
          <w:p w:rsidR="00937EAD" w:rsidP="00937EAD" w:rsidRDefault="00937EAD">
            <w:pPr>
              <w:jc w:val="center"/>
              <w:rPr>
                <w:rFonts w:ascii="Arial" w:hAnsi="Arial" w:cs="Arial"/>
                <w:color w:val="0000FF"/>
                <w:sz w:val="20"/>
                <w:szCs w:val="20"/>
              </w:rPr>
            </w:pPr>
            <w:r>
              <w:rPr>
                <w:rFonts w:ascii="Arial" w:hAnsi="Arial" w:cs="Arial"/>
                <w:color w:val="0000FF"/>
                <w:sz w:val="20"/>
                <w:szCs w:val="20"/>
              </w:rPr>
              <w:t>Glasovi  na SKUPŠTINI</w:t>
            </w:r>
          </w:p>
        </w:tc>
        <w:tc>
          <w:tcPr>
            <w:tcW w:w="96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color w:val="0000FF"/>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r>
      <w:tr w:rsidR="00937EAD" w:rsidTr="00937EAD">
        <w:trPr>
          <w:trHeight w:val="480"/>
        </w:trPr>
        <w:tc>
          <w:tcPr>
            <w:tcW w:w="621" w:type="dxa"/>
            <w:vMerge/>
            <w:tcBorders>
              <w:top w:val="nil"/>
              <w:left w:val="nil"/>
              <w:bottom w:val="nil"/>
              <w:right w:val="nil"/>
            </w:tcBorders>
            <w:vAlign w:val="center"/>
            <w:hideMark/>
          </w:tcPr>
          <w:p w:rsidR="00937EAD" w:rsidP="00937EAD" w:rsidRDefault="00937EAD">
            <w:pPr>
              <w:rPr>
                <w:rFonts w:ascii="Arial" w:hAnsi="Arial" w:cs="Arial"/>
                <w:b/>
                <w:bCs/>
                <w:sz w:val="28"/>
                <w:szCs w:val="28"/>
              </w:rPr>
            </w:pPr>
          </w:p>
        </w:tc>
        <w:tc>
          <w:tcPr>
            <w:tcW w:w="4180" w:type="dxa"/>
            <w:vMerge/>
            <w:tcBorders>
              <w:top w:val="nil"/>
              <w:left w:val="nil"/>
              <w:bottom w:val="nil"/>
              <w:right w:val="nil"/>
            </w:tcBorders>
            <w:vAlign w:val="center"/>
            <w:hideMark/>
          </w:tcPr>
          <w:p w:rsidR="00937EAD" w:rsidP="00937EAD" w:rsidRDefault="00937EAD">
            <w:pPr>
              <w:rPr>
                <w:rFonts w:ascii="Arial" w:hAnsi="Arial" w:cs="Arial"/>
                <w:b/>
                <w:bCs/>
                <w:sz w:val="22"/>
                <w:szCs w:val="22"/>
              </w:rPr>
            </w:pPr>
          </w:p>
        </w:tc>
        <w:tc>
          <w:tcPr>
            <w:tcW w:w="1885" w:type="dxa"/>
            <w:vMerge/>
            <w:tcBorders>
              <w:top w:val="nil"/>
              <w:left w:val="nil"/>
              <w:bottom w:val="nil"/>
              <w:right w:val="nil"/>
            </w:tcBorders>
            <w:vAlign w:val="center"/>
            <w:hideMark/>
          </w:tcPr>
          <w:p w:rsidR="00937EAD" w:rsidP="00937EAD" w:rsidRDefault="00937EAD">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00937EAD" w:rsidP="00937EAD" w:rsidRDefault="00937EAD">
            <w:pPr>
              <w:rPr>
                <w:rFonts w:ascii="Arial" w:hAnsi="Arial" w:cs="Arial"/>
                <w:b/>
                <w:bCs/>
                <w:color w:val="993300"/>
                <w:sz w:val="28"/>
                <w:szCs w:val="28"/>
              </w:rPr>
            </w:pPr>
          </w:p>
        </w:tc>
        <w:tc>
          <w:tcPr>
            <w:tcW w:w="1272" w:type="dxa"/>
            <w:vMerge/>
            <w:tcBorders>
              <w:top w:val="nil"/>
              <w:left w:val="nil"/>
              <w:bottom w:val="nil"/>
              <w:right w:val="nil"/>
            </w:tcBorders>
            <w:vAlign w:val="center"/>
            <w:hideMark/>
          </w:tcPr>
          <w:p w:rsidR="00937EAD" w:rsidP="00937EAD" w:rsidRDefault="00937EAD">
            <w:pPr>
              <w:rPr>
                <w:rFonts w:ascii="Arial" w:hAnsi="Arial" w:cs="Arial"/>
                <w:color w:val="0000FF"/>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r>
      <w:tr w:rsidR="00937EAD" w:rsidTr="00937EAD">
        <w:trPr>
          <w:trHeight w:val="255"/>
        </w:trPr>
        <w:tc>
          <w:tcPr>
            <w:tcW w:w="621"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1</w:t>
            </w:r>
          </w:p>
        </w:tc>
        <w:tc>
          <w:tcPr>
            <w:tcW w:w="4180" w:type="dxa"/>
            <w:tcBorders>
              <w:top w:val="nil"/>
              <w:left w:val="nil"/>
              <w:bottom w:val="nil"/>
              <w:right w:val="nil"/>
            </w:tcBorders>
            <w:shd w:val="clear" w:color="auto" w:fill="auto"/>
            <w:noWrap/>
            <w:vAlign w:val="bottom"/>
            <w:hideMark/>
          </w:tcPr>
          <w:p w:rsidR="00937EAD" w:rsidP="00937EAD" w:rsidRDefault="00937EAD">
            <w:pPr>
              <w:rPr>
                <w:rFonts w:ascii="Arial" w:hAnsi="Arial" w:cs="Arial"/>
                <w:sz w:val="20"/>
                <w:szCs w:val="20"/>
              </w:rPr>
            </w:pPr>
            <w:r>
              <w:rPr>
                <w:rFonts w:ascii="Arial" w:hAnsi="Arial" w:cs="Arial"/>
                <w:sz w:val="20"/>
                <w:szCs w:val="20"/>
              </w:rPr>
              <w:t>RH</w:t>
            </w:r>
          </w:p>
        </w:tc>
        <w:tc>
          <w:tcPr>
            <w:tcW w:w="1885"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31.496.847,48</w:t>
            </w:r>
          </w:p>
        </w:tc>
        <w:tc>
          <w:tcPr>
            <w:tcW w:w="220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23,52</w:t>
            </w:r>
          </w:p>
        </w:tc>
        <w:tc>
          <w:tcPr>
            <w:tcW w:w="1272"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24,76</w:t>
            </w:r>
          </w:p>
        </w:tc>
        <w:tc>
          <w:tcPr>
            <w:tcW w:w="96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r>
      <w:tr w:rsidR="00937EAD" w:rsidTr="00937EAD">
        <w:trPr>
          <w:trHeight w:val="255"/>
        </w:trPr>
        <w:tc>
          <w:tcPr>
            <w:tcW w:w="621"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2</w:t>
            </w:r>
          </w:p>
        </w:tc>
        <w:tc>
          <w:tcPr>
            <w:tcW w:w="4180" w:type="dxa"/>
            <w:tcBorders>
              <w:top w:val="nil"/>
              <w:left w:val="nil"/>
              <w:bottom w:val="nil"/>
              <w:right w:val="nil"/>
            </w:tcBorders>
            <w:shd w:val="clear" w:color="auto" w:fill="auto"/>
            <w:noWrap/>
            <w:vAlign w:val="bottom"/>
            <w:hideMark/>
          </w:tcPr>
          <w:p w:rsidR="00937EAD" w:rsidP="00937EAD" w:rsidRDefault="00937EAD">
            <w:pPr>
              <w:rPr>
                <w:rFonts w:ascii="Arial" w:hAnsi="Arial" w:cs="Arial"/>
                <w:sz w:val="20"/>
                <w:szCs w:val="20"/>
              </w:rPr>
            </w:pPr>
            <w:r>
              <w:rPr>
                <w:rFonts w:ascii="Arial" w:hAnsi="Arial" w:cs="Arial"/>
                <w:sz w:val="20"/>
                <w:szCs w:val="20"/>
              </w:rPr>
              <w:t>OTP BANKA d.d.</w:t>
            </w:r>
          </w:p>
        </w:tc>
        <w:tc>
          <w:tcPr>
            <w:tcW w:w="1885"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71.001.793,48</w:t>
            </w:r>
          </w:p>
        </w:tc>
        <w:tc>
          <w:tcPr>
            <w:tcW w:w="220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53,02</w:t>
            </w:r>
          </w:p>
        </w:tc>
        <w:tc>
          <w:tcPr>
            <w:tcW w:w="1272"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55,81</w:t>
            </w:r>
          </w:p>
        </w:tc>
        <w:tc>
          <w:tcPr>
            <w:tcW w:w="96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r>
      <w:tr w:rsidR="00937EAD" w:rsidTr="00937EAD">
        <w:trPr>
          <w:trHeight w:val="255"/>
        </w:trPr>
        <w:tc>
          <w:tcPr>
            <w:tcW w:w="621"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3</w:t>
            </w:r>
          </w:p>
        </w:tc>
        <w:tc>
          <w:tcPr>
            <w:tcW w:w="4180" w:type="dxa"/>
            <w:tcBorders>
              <w:top w:val="nil"/>
              <w:left w:val="nil"/>
              <w:bottom w:val="nil"/>
              <w:right w:val="nil"/>
            </w:tcBorders>
            <w:shd w:val="clear" w:color="auto" w:fill="auto"/>
            <w:noWrap/>
            <w:vAlign w:val="bottom"/>
            <w:hideMark/>
          </w:tcPr>
          <w:p w:rsidR="00937EAD" w:rsidP="00937EAD" w:rsidRDefault="00937EAD">
            <w:pPr>
              <w:rPr>
                <w:rFonts w:ascii="Arial" w:hAnsi="Arial" w:cs="Arial"/>
                <w:sz w:val="20"/>
                <w:szCs w:val="20"/>
              </w:rPr>
            </w:pPr>
            <w:r>
              <w:rPr>
                <w:rFonts w:ascii="Arial" w:hAnsi="Arial" w:cs="Arial"/>
                <w:sz w:val="20"/>
                <w:szCs w:val="20"/>
              </w:rPr>
              <w:t>ERSTE&amp;STEIERMARKISCHE BANK d.d.</w:t>
            </w:r>
          </w:p>
        </w:tc>
        <w:tc>
          <w:tcPr>
            <w:tcW w:w="1885"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12.737.348,17</w:t>
            </w:r>
          </w:p>
        </w:tc>
        <w:tc>
          <w:tcPr>
            <w:tcW w:w="220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9,51</w:t>
            </w:r>
          </w:p>
        </w:tc>
        <w:tc>
          <w:tcPr>
            <w:tcW w:w="1272"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10,01</w:t>
            </w:r>
          </w:p>
        </w:tc>
        <w:tc>
          <w:tcPr>
            <w:tcW w:w="96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r>
      <w:tr w:rsidR="00937EAD" w:rsidTr="00937EAD">
        <w:trPr>
          <w:trHeight w:val="255"/>
        </w:trPr>
        <w:tc>
          <w:tcPr>
            <w:tcW w:w="621"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4</w:t>
            </w:r>
          </w:p>
        </w:tc>
        <w:tc>
          <w:tcPr>
            <w:tcW w:w="4180" w:type="dxa"/>
            <w:tcBorders>
              <w:top w:val="nil"/>
              <w:left w:val="nil"/>
              <w:bottom w:val="nil"/>
              <w:right w:val="nil"/>
            </w:tcBorders>
            <w:shd w:val="clear" w:color="auto" w:fill="auto"/>
            <w:noWrap/>
            <w:vAlign w:val="bottom"/>
            <w:hideMark/>
          </w:tcPr>
          <w:p w:rsidR="00937EAD" w:rsidP="00937EAD" w:rsidRDefault="00937EAD">
            <w:pPr>
              <w:rPr>
                <w:rFonts w:ascii="Arial" w:hAnsi="Arial" w:cs="Arial"/>
                <w:sz w:val="20"/>
                <w:szCs w:val="20"/>
              </w:rPr>
            </w:pPr>
            <w:r>
              <w:rPr>
                <w:rFonts w:ascii="Arial" w:hAnsi="Arial" w:cs="Arial"/>
                <w:sz w:val="20"/>
                <w:szCs w:val="20"/>
              </w:rPr>
              <w:t>GRAD ZADAR</w:t>
            </w:r>
          </w:p>
        </w:tc>
        <w:tc>
          <w:tcPr>
            <w:tcW w:w="1885"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11.707.892,37</w:t>
            </w:r>
          </w:p>
        </w:tc>
        <w:tc>
          <w:tcPr>
            <w:tcW w:w="220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8,74</w:t>
            </w:r>
          </w:p>
        </w:tc>
        <w:tc>
          <w:tcPr>
            <w:tcW w:w="1272"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9,20</w:t>
            </w:r>
          </w:p>
        </w:tc>
        <w:tc>
          <w:tcPr>
            <w:tcW w:w="96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r>
      <w:tr w:rsidR="00937EAD" w:rsidTr="00937EAD">
        <w:trPr>
          <w:trHeight w:val="255"/>
        </w:trPr>
        <w:tc>
          <w:tcPr>
            <w:tcW w:w="621"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5</w:t>
            </w:r>
          </w:p>
        </w:tc>
        <w:tc>
          <w:tcPr>
            <w:tcW w:w="4180" w:type="dxa"/>
            <w:tcBorders>
              <w:top w:val="nil"/>
              <w:left w:val="nil"/>
              <w:bottom w:val="nil"/>
              <w:right w:val="nil"/>
            </w:tcBorders>
            <w:shd w:val="clear" w:color="auto" w:fill="auto"/>
            <w:noWrap/>
            <w:vAlign w:val="bottom"/>
            <w:hideMark/>
          </w:tcPr>
          <w:p w:rsidR="00937EAD" w:rsidP="00937EAD" w:rsidRDefault="00937EAD">
            <w:pPr>
              <w:rPr>
                <w:rFonts w:ascii="Arial" w:hAnsi="Arial" w:cs="Arial"/>
                <w:sz w:val="20"/>
                <w:szCs w:val="20"/>
              </w:rPr>
            </w:pPr>
            <w:r>
              <w:rPr>
                <w:rFonts w:ascii="Arial" w:hAnsi="Arial" w:cs="Arial"/>
                <w:sz w:val="20"/>
                <w:szCs w:val="20"/>
              </w:rPr>
              <w:t>HRVATSKE ŠUME d.o.o.</w:t>
            </w:r>
          </w:p>
        </w:tc>
        <w:tc>
          <w:tcPr>
            <w:tcW w:w="1885"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270.699,57</w:t>
            </w:r>
          </w:p>
        </w:tc>
        <w:tc>
          <w:tcPr>
            <w:tcW w:w="220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0,20</w:t>
            </w:r>
          </w:p>
        </w:tc>
        <w:tc>
          <w:tcPr>
            <w:tcW w:w="1272"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0,21</w:t>
            </w:r>
          </w:p>
        </w:tc>
        <w:tc>
          <w:tcPr>
            <w:tcW w:w="96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r>
      <w:tr w:rsidR="00937EAD" w:rsidTr="00937EAD">
        <w:trPr>
          <w:trHeight w:val="255"/>
        </w:trPr>
        <w:tc>
          <w:tcPr>
            <w:tcW w:w="621"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6</w:t>
            </w:r>
          </w:p>
        </w:tc>
        <w:tc>
          <w:tcPr>
            <w:tcW w:w="4180" w:type="dxa"/>
            <w:tcBorders>
              <w:top w:val="nil"/>
              <w:left w:val="nil"/>
              <w:bottom w:val="nil"/>
              <w:right w:val="nil"/>
            </w:tcBorders>
            <w:shd w:val="clear" w:color="auto" w:fill="auto"/>
            <w:noWrap/>
            <w:vAlign w:val="bottom"/>
            <w:hideMark/>
          </w:tcPr>
          <w:p w:rsidR="00937EAD" w:rsidP="00937EAD" w:rsidRDefault="00937EAD">
            <w:pPr>
              <w:rPr>
                <w:rFonts w:ascii="Arial" w:hAnsi="Arial" w:cs="Arial"/>
                <w:sz w:val="20"/>
                <w:szCs w:val="20"/>
              </w:rPr>
            </w:pPr>
            <w:r>
              <w:rPr>
                <w:rFonts w:ascii="Arial" w:hAnsi="Arial" w:cs="Arial"/>
                <w:sz w:val="20"/>
                <w:szCs w:val="20"/>
              </w:rPr>
              <w:t>ANA SMOLJAN ZANKI, odvjetnica</w:t>
            </w:r>
          </w:p>
        </w:tc>
        <w:tc>
          <w:tcPr>
            <w:tcW w:w="1885" w:type="dxa"/>
            <w:tcBorders>
              <w:top w:val="nil"/>
              <w:left w:val="nil"/>
              <w:bottom w:val="nil"/>
              <w:right w:val="nil"/>
            </w:tcBorders>
            <w:shd w:val="clear" w:color="auto" w:fill="auto"/>
            <w:noWrap/>
            <w:vAlign w:val="bottom"/>
            <w:hideMark/>
          </w:tcPr>
          <w:p w:rsidR="00937EAD" w:rsidP="00937EAD" w:rsidRDefault="00937EAD">
            <w:pPr>
              <w:jc w:val="right"/>
              <w:rPr>
                <w:rFonts w:ascii="Arial" w:hAnsi="Arial" w:cs="Arial"/>
                <w:sz w:val="20"/>
                <w:szCs w:val="20"/>
              </w:rPr>
            </w:pPr>
            <w:r>
              <w:rPr>
                <w:rFonts w:ascii="Arial" w:hAnsi="Arial" w:cs="Arial"/>
                <w:sz w:val="20"/>
                <w:szCs w:val="20"/>
              </w:rPr>
              <w:t>882,42</w:t>
            </w:r>
          </w:p>
        </w:tc>
        <w:tc>
          <w:tcPr>
            <w:tcW w:w="220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0,00</w:t>
            </w:r>
          </w:p>
        </w:tc>
        <w:tc>
          <w:tcPr>
            <w:tcW w:w="1272"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r>
              <w:rPr>
                <w:rFonts w:ascii="Arial" w:hAnsi="Arial" w:cs="Arial"/>
                <w:sz w:val="20"/>
                <w:szCs w:val="20"/>
              </w:rPr>
              <w:t>0,00</w:t>
            </w:r>
          </w:p>
        </w:tc>
        <w:tc>
          <w:tcPr>
            <w:tcW w:w="960" w:type="dxa"/>
            <w:tcBorders>
              <w:top w:val="nil"/>
              <w:left w:val="nil"/>
              <w:bottom w:val="nil"/>
              <w:right w:val="nil"/>
            </w:tcBorders>
            <w:shd w:val="clear" w:color="auto" w:fill="auto"/>
            <w:noWrap/>
            <w:vAlign w:val="bottom"/>
            <w:hideMark/>
          </w:tcPr>
          <w:p w:rsidR="00937EAD" w:rsidP="00937EAD" w:rsidRDefault="00937EAD">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c>
          <w:tcPr>
            <w:tcW w:w="960" w:type="dxa"/>
            <w:tcBorders>
              <w:top w:val="nil"/>
              <w:left w:val="nil"/>
              <w:bottom w:val="nil"/>
              <w:right w:val="nil"/>
            </w:tcBorders>
            <w:shd w:val="clear" w:color="auto" w:fill="auto"/>
            <w:noWrap/>
            <w:vAlign w:val="bottom"/>
            <w:hideMark/>
          </w:tcPr>
          <w:p w:rsidR="00937EAD" w:rsidP="00937EAD" w:rsidRDefault="00937EAD">
            <w:pPr>
              <w:rPr>
                <w:sz w:val="20"/>
                <w:szCs w:val="20"/>
              </w:rPr>
            </w:pPr>
          </w:p>
        </w:tc>
      </w:tr>
    </w:tbl>
    <w:p w:rsidRPr="0042423F" w:rsidR="00CE3C4F" w:rsidP="003D5BCC" w:rsidRDefault="00CE3C4F">
      <w:pPr>
        <w:jc w:val="both"/>
      </w:pPr>
    </w:p>
    <w:p w:rsidRPr="0042423F" w:rsidR="00F57145" w:rsidP="003D5BCC" w:rsidRDefault="00F57145">
      <w:pPr>
        <w:jc w:val="both"/>
      </w:pPr>
    </w:p>
    <w:p w:rsidRPr="0042423F" w:rsidR="00035448" w:rsidP="00035448" w:rsidRDefault="007569AC">
      <w:pPr>
        <w:jc w:val="both"/>
      </w:pPr>
      <w:r w:rsidRPr="0042423F">
        <w:t xml:space="preserve">Utvrđuje se da je na današnjem ročištu nazočno vjerovnika u ukupnom iznosu tražbina od </w:t>
      </w:r>
      <w:r w:rsidR="00937EAD">
        <w:t>127.215.463,49</w:t>
      </w:r>
      <w:r w:rsidRPr="0042423F">
        <w:t xml:space="preserve"> kuna </w:t>
      </w:r>
      <w:r w:rsidRPr="0042423F" w:rsidR="00035448">
        <w:t xml:space="preserve">što čini 100 % vjerovnika s pravom glasa na današnjem ročištu tj. </w:t>
      </w:r>
      <w:r w:rsidR="00937EAD">
        <w:t>95,01</w:t>
      </w:r>
      <w:r w:rsidRPr="0042423F" w:rsidR="00035448">
        <w:t xml:space="preserve">% svih vjerovnika s pravom glasa. </w:t>
      </w:r>
    </w:p>
    <w:p w:rsidRPr="0042423F" w:rsidR="00675075" w:rsidP="00675075" w:rsidRDefault="00675075">
      <w:pPr>
        <w:jc w:val="both"/>
      </w:pPr>
    </w:p>
    <w:p w:rsidRPr="0042423F" w:rsidR="00675075" w:rsidP="00675075" w:rsidRDefault="00675075">
      <w:pPr>
        <w:jc w:val="both"/>
      </w:pPr>
      <w:r w:rsidRPr="0042423F">
        <w:t>Smatrat će se da je odluka donesena ako je zbroj iznosa glasova stečajnih vjerovnika koji su glasovali za neku odluku veći od zbroja iznosa tražbina vjerovnika koji su glasovali protiv.</w:t>
      </w:r>
    </w:p>
    <w:p w:rsidRPr="0042423F" w:rsidR="00675075" w:rsidP="00675075" w:rsidRDefault="00675075">
      <w:pPr>
        <w:tabs>
          <w:tab w:val="left" w:pos="960"/>
        </w:tabs>
        <w:jc w:val="both"/>
      </w:pPr>
    </w:p>
    <w:p w:rsidRPr="0042423F" w:rsidR="00675075" w:rsidP="00675075" w:rsidRDefault="00675075">
      <w:pPr>
        <w:tabs>
          <w:tab w:val="left" w:pos="960"/>
        </w:tabs>
        <w:jc w:val="both"/>
      </w:pPr>
      <w:r w:rsidRPr="0042423F">
        <w:t xml:space="preserve">Sudac objavljuje da će se glasovanje vršiti dizanjem ruku. </w:t>
      </w:r>
    </w:p>
    <w:p w:rsidRPr="0042423F" w:rsidR="005D2987" w:rsidP="00675075" w:rsidRDefault="005D2987">
      <w:pPr>
        <w:tabs>
          <w:tab w:val="left" w:pos="960"/>
        </w:tabs>
        <w:jc w:val="both"/>
      </w:pPr>
    </w:p>
    <w:p w:rsidRPr="0042423F" w:rsidR="00246CAC" w:rsidP="00675075" w:rsidRDefault="00246CAC">
      <w:pPr>
        <w:tabs>
          <w:tab w:val="left" w:pos="960"/>
        </w:tabs>
        <w:jc w:val="both"/>
      </w:pPr>
      <w:r w:rsidRPr="0042423F">
        <w:t>Sudac daje riječ stečajnoj upraviteljici.</w:t>
      </w:r>
    </w:p>
    <w:p w:rsidRPr="0042423F" w:rsidR="00246CAC" w:rsidP="00675075" w:rsidRDefault="00246CAC">
      <w:pPr>
        <w:tabs>
          <w:tab w:val="left" w:pos="960"/>
        </w:tabs>
        <w:jc w:val="both"/>
      </w:pPr>
    </w:p>
    <w:p w:rsidR="00CE3C4F" w:rsidP="0042423F" w:rsidRDefault="00246CAC">
      <w:pPr>
        <w:jc w:val="both"/>
      </w:pPr>
      <w:r w:rsidRPr="0042423F">
        <w:t xml:space="preserve">Stečajna upraviteljica </w:t>
      </w:r>
      <w:r w:rsidR="00976DF6">
        <w:t xml:space="preserve">u bitnome </w:t>
      </w:r>
      <w:r w:rsidRPr="0042423F">
        <w:t xml:space="preserve">navodi </w:t>
      </w:r>
      <w:r w:rsidR="0042423F">
        <w:t xml:space="preserve">kao u svom podnesku od 12. veljače 2020. </w:t>
      </w:r>
      <w:r w:rsidR="00976DF6">
        <w:t>Predlaže da je Skupština ovlasti na povlačenje tužbi kako u predmetu ovog suda P-233/2014, tako i u predmetu P-18/2017</w:t>
      </w:r>
      <w:r w:rsidR="00F0638D">
        <w:t xml:space="preserve">. Pravno mišljenje izradio je odvjetnik Hrvoje Kraljičković slijedom čega predlažem da se skupština izjasni o mojim prijedlozima. </w:t>
      </w:r>
    </w:p>
    <w:p w:rsidR="00720FDD" w:rsidP="0042423F" w:rsidRDefault="00720FDD">
      <w:pPr>
        <w:jc w:val="both"/>
      </w:pPr>
    </w:p>
    <w:p w:rsidR="00720FDD" w:rsidP="0042423F" w:rsidRDefault="00720FDD">
      <w:pPr>
        <w:jc w:val="both"/>
      </w:pPr>
      <w:r>
        <w:t>Punomoćnik vjerovnika OTP BANKA HRVATSKA d.d. i zz vjerovnika RH navode da nisu suglasni sa pravnim mišljenjem odvjetnika Hrvoja Kraljičkovića.</w:t>
      </w:r>
    </w:p>
    <w:p w:rsidR="00720FDD" w:rsidP="0042423F" w:rsidRDefault="00720FDD">
      <w:pPr>
        <w:jc w:val="both"/>
      </w:pPr>
    </w:p>
    <w:p w:rsidR="00720FDD" w:rsidP="0042423F" w:rsidRDefault="00720FDD">
      <w:pPr>
        <w:jc w:val="both"/>
      </w:pPr>
      <w:r>
        <w:t xml:space="preserve">Zamjenica punomoćnika vjerovnika </w:t>
      </w:r>
      <w:r w:rsidRPr="00B66021">
        <w:t>ERSTE&amp;STEIERMARKISCHE BANK d.d., Rijeka</w:t>
      </w:r>
      <w:r>
        <w:t xml:space="preserve"> ističe kako uvjetno pristaje na povlačenje navedenih tužbi i to isključivo pod uvjetom da ukoliko dođe do ovakvog povlačenja svaka od parničnih stranaka u navedenim postupcima snosi svoj trošak, a ovo sve kako ne bi nastali dodatni troškovi koji će teretiti stečaju masu. Naravno, navedeno podrazumijeva postizanje prethodnog dogovora između stečajnog dužnika i suprotnih strana u navedenim postupcima. </w:t>
      </w:r>
    </w:p>
    <w:p w:rsidR="00720FDD" w:rsidP="0042423F" w:rsidRDefault="00720FDD">
      <w:pPr>
        <w:jc w:val="both"/>
      </w:pPr>
    </w:p>
    <w:p w:rsidR="00720FDD" w:rsidP="0042423F" w:rsidRDefault="00720FDD">
      <w:pPr>
        <w:jc w:val="both"/>
      </w:pPr>
      <w:r>
        <w:t xml:space="preserve">Punomoćnik vjerovnika OTP BANKA HRVATSKA d.d. ističe da je glavni predmet sporova koje se vode između stečajnog dužnika GRADA ZADRA i društva LIGNUM d.o.o. prijenos vlasništva na nekretninama koje u naravi se stavljaju javnu cestu i isplate naknade za prenijeto vlasništvo </w:t>
      </w:r>
      <w:r>
        <w:lastRenderedPageBreak/>
        <w:t xml:space="preserve">nad tim nekretninama. Mišljenja je da pri tome treba imati u vidu činjenicu da se radi o javnoj cesti koja je van prometa i koja je silom zakona u vlasništvu GRADA ZADRA koje vlasništvo je prenijeto na Grad Zadar bez obzira što o tome ne postoji nikakav formalni akt niti ugovor. Dakle, u trenutku izgradnje ceste i puštanje u promet ceste ista je silom propisa postala vlasništvo Grada Zadra, a svi daljnji  ugovori predmetom koje su bile nekretnine koje u naravi predstavljaju javnu cestu pravno </w:t>
      </w:r>
      <w:r w:rsidR="000852F8">
        <w:t xml:space="preserve">su </w:t>
      </w:r>
      <w:r>
        <w:t xml:space="preserve">ništavi. </w:t>
      </w:r>
    </w:p>
    <w:p w:rsidR="000852F8" w:rsidP="0042423F" w:rsidRDefault="000852F8">
      <w:pPr>
        <w:jc w:val="both"/>
      </w:pPr>
    </w:p>
    <w:p w:rsidR="000852F8" w:rsidP="0042423F" w:rsidRDefault="000852F8">
      <w:pPr>
        <w:jc w:val="both"/>
      </w:pPr>
      <w:r>
        <w:t>Zakonska zastupnica vjerovnika Republike Hrvatske suglasna je sa stavom punomoćnika vjerovnika OTP BANKE HRVATSKA d.d.</w:t>
      </w:r>
    </w:p>
    <w:p w:rsidR="000852F8" w:rsidP="0042423F" w:rsidRDefault="000852F8">
      <w:pPr>
        <w:jc w:val="both"/>
      </w:pPr>
    </w:p>
    <w:p w:rsidR="000852F8" w:rsidP="0042423F" w:rsidRDefault="000852F8">
      <w:pPr>
        <w:jc w:val="both"/>
      </w:pPr>
    </w:p>
    <w:p w:rsidR="000852F8" w:rsidP="0042423F" w:rsidRDefault="000852F8">
      <w:pPr>
        <w:jc w:val="both"/>
      </w:pPr>
      <w:r>
        <w:t xml:space="preserve">Punomoćnica vjerovnika GRADA ZADRA ističe da nisu točni navodi prethodnih vjerovnika u ovoj pravnoj stvari iz razloga što predmetne nekretnine koje je stečajni </w:t>
      </w:r>
      <w:r w:rsidR="004D1F3A">
        <w:t>dužnik trebao predati u posjed i</w:t>
      </w:r>
      <w:r>
        <w:t xml:space="preserve"> vlasništvo Grada Zadra sukladno sklopljenim ugovorima nisu obuhvaćeni kao nerazvrstane ceste po sili zakona, pa je tako Grad Zadar, a nakon što je donesen Zakon o cestama u kojem je utvrđen </w:t>
      </w:r>
      <w:r w:rsidR="004D1F3A">
        <w:t>status</w:t>
      </w:r>
      <w:r>
        <w:t xml:space="preserve"> nerazvrstanih </w:t>
      </w:r>
      <w:r w:rsidR="004D1F3A">
        <w:t>cesta</w:t>
      </w:r>
      <w:r>
        <w:t xml:space="preserve">, upisao </w:t>
      </w:r>
      <w:r w:rsidR="004D1F3A">
        <w:t>nerazvrstane</w:t>
      </w:r>
      <w:r>
        <w:t xml:space="preserve"> ceste koje su se pravno mogle upisati pa između ostaloga tu su se našle i nekretnine koje su u zemljišnim knjigama bile upisane kao vlasništvo  LIGNUM d.o.o., a na koje upise su u zemljišnim knjigama i stavljeni prigovori koji još nisu riješeni. Predmetne nekretnine, a koje su predmet</w:t>
      </w:r>
      <w:r w:rsidR="004D1F3A">
        <w:t>om ovih</w:t>
      </w:r>
      <w:r>
        <w:t xml:space="preserve"> p</w:t>
      </w:r>
      <w:r w:rsidR="004D1F3A">
        <w:t>arničnih</w:t>
      </w:r>
      <w:r>
        <w:t xml:space="preserve"> postupka </w:t>
      </w:r>
      <w:r w:rsidR="004D1F3A">
        <w:t xml:space="preserve">iz spornog ugovora sklopljenog između GRADA ZADRA i GORTAN ZADAR nisu mogle biti upisane kao nerazvrstane ceste jer za to ne zadovoljavaju zakonske uvjete, tj. nisu ceste. </w:t>
      </w:r>
    </w:p>
    <w:p w:rsidR="004D1F3A" w:rsidP="0042423F" w:rsidRDefault="004D1F3A">
      <w:pPr>
        <w:jc w:val="both"/>
      </w:pPr>
      <w:r>
        <w:t>Grad Zadar na ovaj način ne može riješiti svoje imovinsko-pravne odnose na predmetnim nekretninama, ispod kojih je izgrađena infrastruktura, a koje nekretnine po zakonu a i prema ugovoru moraju biti predane u posjed i vlasništvo Grada Zadra.</w:t>
      </w:r>
    </w:p>
    <w:p w:rsidR="004D1F3A" w:rsidP="0042423F" w:rsidRDefault="004D1F3A">
      <w:pPr>
        <w:jc w:val="both"/>
      </w:pPr>
      <w:r>
        <w:t>Grad Zadar momentalno je i zatražio da se i ustanovi pravo služnosti na predmetnim nekretninama, međutim isto se ne može ostvariti upravo radi ovih sudskih postupaka. Napominje da iz ugovora koji je predmet parničnih postupaka između GORTANA ZADAR i GRADA ZADRA je u cijelosti ispunjen od strane Grada Zadra, dok nije ispunjen od GORTAN ZADAR, odnosno ovdje stečajnog dužnika. Predmetne tužbe na isplatu koje je pokrenuo GORTAN ZADAR smatra da su predstavljali obijesno parničenje obzirom na potraživanja GORTAN ZADAR u odnosu na GRAD ZADAR u ukupnom iznos od 140.000.000,00kn koja potraživanja su u cijelosti u tužbama neargumentirana i proizvoljna.</w:t>
      </w:r>
    </w:p>
    <w:p w:rsidR="004D1F3A" w:rsidP="0042423F" w:rsidRDefault="004D1F3A">
      <w:pPr>
        <w:jc w:val="both"/>
      </w:pPr>
      <w:r>
        <w:t>U parničnim postupcima GRAD ZADAR je i ustao sa protutužbom na predaju u posjed predmetnih nekretnina koje u međuvremenu GORTAN ZADAR sporazumom o fiduciji prenio na LIGNUM d.o.o.</w:t>
      </w:r>
    </w:p>
    <w:p w:rsidR="004D1F3A" w:rsidP="0042423F" w:rsidRDefault="004D1F3A">
      <w:pPr>
        <w:jc w:val="both"/>
      </w:pPr>
      <w:r>
        <w:t>U tijeku ovog stečajnog postupka LIGNUM d.o.o. je i ustao sa tužbom glavnog miješanja u parničnom postupku P-233/2014 gdje su utuženi GORTAN ZDARA u stečaju i GRAD ZADAR.</w:t>
      </w:r>
    </w:p>
    <w:p w:rsidR="004D1F3A" w:rsidP="0042423F" w:rsidRDefault="004D1F3A">
      <w:pPr>
        <w:jc w:val="both"/>
      </w:pPr>
      <w:r>
        <w:t>Daljnje vođenje ovih parničnih postupaka stvorilo bi velike sudske troškove budući je obzirom na vrijednost predmeta spora jedna odvjetnička radnja 100.000,00 kn +PDV. Nije izvjesno da bi GORTAN ZADAR u stečaju u tim parničnim postupcima uspio sa svojim tražbinama, a li bi se stvorili veliki troškovi za stečajnog dužnika koje troškove stečajni upravitelj  mora osigurati sukladno čl. 157. Stečajnog zakona. Smatra da bi bilo svrsishodno da stečajni dužnik povuče predmetne tužbe u kojem slučaju, a uz činjenicu tužbu glavnog miješanja LIGNUM d.o.o. razriješili bi se problemi pravni oko nekretnina između LIGNUM d.o.o. i GRADA ZADRA, pa sve imajući u vidu protutužbu GRADA ZADRA.</w:t>
      </w:r>
    </w:p>
    <w:p w:rsidR="004D1F3A" w:rsidP="0042423F" w:rsidRDefault="004D1F3A">
      <w:pPr>
        <w:jc w:val="both"/>
      </w:pPr>
    </w:p>
    <w:p w:rsidR="004D1F3A" w:rsidP="0042423F" w:rsidRDefault="004D1F3A">
      <w:pPr>
        <w:jc w:val="both"/>
      </w:pPr>
      <w:r>
        <w:t>Odvjetnica Ana Smoljan Zanki ističe da obzirom da u navedenim parničnim predmetima zastupa društvo LIGNUM d.o.o. nekretnine koje u naravi predstavljaju cestu parcelirane su temeljem Zakona o cestama i upisane kao vlasništvo Grada Zadra te nisu predmet ovih parnica.</w:t>
      </w:r>
    </w:p>
    <w:p w:rsidR="006B5318" w:rsidP="0042423F" w:rsidRDefault="006B5318">
      <w:pPr>
        <w:jc w:val="both"/>
      </w:pPr>
    </w:p>
    <w:p w:rsidR="006B5318" w:rsidP="0042423F" w:rsidRDefault="006B5318">
      <w:pPr>
        <w:jc w:val="both"/>
      </w:pPr>
      <w:r>
        <w:lastRenderedPageBreak/>
        <w:t xml:space="preserve">Zakonska zastupnica vjerovnika Republike Hrvatske izjavljuje da je očito riječ o kompleksnom odnosu tri strane, da je stečajni dužnik trebao sagraditi i koliko se razumije i dovršio gradnju ceste, ali je problem što je prethodno i prije predaje dovršene ceste GRADU ZADRU zaključio Ugovor </w:t>
      </w:r>
      <w:r w:rsidR="00706338">
        <w:t>o fiduciji</w:t>
      </w:r>
      <w:r>
        <w:t xml:space="preserve"> s LIGNUMOM d.o.o., pa očito Grad Zadar sad nema formalnih uvjeta za upis javne ceste. RH smatra da se jednostranim povlačenje</w:t>
      </w:r>
      <w:r w:rsidR="00706338">
        <w:t>m</w:t>
      </w:r>
      <w:r>
        <w:t xml:space="preserve"> tužbi ovog stečajnog dužnika ne može razriješiti ovako kompleksan odnos i smatra da bi dužnik trebao nastaviti parnice, a ako bi se mogao postići razuman dogovor u interesu svih sudionika onda bi ova skupština mogla o tome raspravljati.</w:t>
      </w:r>
    </w:p>
    <w:p w:rsidR="006B5318" w:rsidP="0042423F" w:rsidRDefault="006B5318">
      <w:pPr>
        <w:jc w:val="both"/>
      </w:pPr>
    </w:p>
    <w:p w:rsidR="004D1F3A" w:rsidP="0042423F" w:rsidRDefault="006B5318">
      <w:pPr>
        <w:jc w:val="both"/>
      </w:pPr>
      <w:r>
        <w:t>Punomoćnica vjerovnika GRADA ZADRA na prednje ističe da Grad Zadar svoje imovinsko-pravne odnose više pravno nema što rješavati sa stečajnim dužnikom već isključivo sa LIGNUM d.o.o. koje nekretnine je stečajni dužnik predao u vlasništvu LIGNUM d.o.o. U odnosu na stečajnog dužnika Grad Zadar je ispunio sve obveze, a stečajni dužnik Gradu Zadru nije predao predmetne nekretnine sa infrastrukturom</w:t>
      </w:r>
      <w:r w:rsidR="00D964B1">
        <w:t>,</w:t>
      </w:r>
      <w:r>
        <w:t xml:space="preserve"> a niti platio svoje financijske obveze koje je bio dužan, a koje su uprave su i priznate u ovom stečajnom postupku. Iz tog razloga smatra da bi bilo svrsishodno za rješavanje imovinsko –pravnih odnosno Grada Zadra kao lokalne samouprave da stečajni dužnik povuče svoje tužbe, jer dok je god u tijeku tužba stečajnog dužnika protiv LIGNUM d.o.o. za utvrđenja ništavosti Sporazuma o fiducijarnom prijenosu vlasništva Grad Zadar ne može rješavati svoje imovinsko pravne odnose dok je ista tužba u tijeku, a koji zapis tužbe je zabilježen u zemljišnim knjigama na predmetnim nekretninama. </w:t>
      </w:r>
    </w:p>
    <w:p w:rsidR="00720FDD" w:rsidP="0042423F" w:rsidRDefault="00720FDD">
      <w:pPr>
        <w:jc w:val="both"/>
      </w:pPr>
    </w:p>
    <w:p w:rsidRPr="0042423F" w:rsidR="00720FDD" w:rsidP="0042423F" w:rsidRDefault="006B5318">
      <w:pPr>
        <w:jc w:val="both"/>
      </w:pPr>
      <w:r>
        <w:t>Odvjetnica Ana Smoljan Zanki ističe ukoliko vjerovnici ne prihvate prijedlog stečajne upraviteljice predlaže se da se sredstva za nastavak ovih parnica osiguraju iz diobe kupovnine koju će stečajni dužnik ostvariti prodajom nekretnina.</w:t>
      </w:r>
    </w:p>
    <w:p w:rsidRPr="0042423F" w:rsidR="00CE3C4F" w:rsidP="00D01733" w:rsidRDefault="00CE3C4F">
      <w:pPr>
        <w:jc w:val="both"/>
      </w:pPr>
    </w:p>
    <w:p w:rsidRPr="0042423F" w:rsidR="00912708" w:rsidP="00912708" w:rsidRDefault="0042423F">
      <w:pPr>
        <w:jc w:val="both"/>
      </w:pPr>
      <w:r>
        <w:t xml:space="preserve">1. </w:t>
      </w:r>
      <w:r>
        <w:tab/>
        <w:t>D</w:t>
      </w:r>
      <w:r w:rsidRPr="0042423F" w:rsidR="009E7BEE">
        <w:t xml:space="preserve">aje na glasovanje </w:t>
      </w:r>
      <w:r w:rsidRPr="0042423F" w:rsidR="00CE3C4F">
        <w:t>p</w:t>
      </w:r>
      <w:r w:rsidRPr="0042423F" w:rsidR="00912708">
        <w:t>rijedlog stečajne upraviteljice</w:t>
      </w:r>
      <w:r w:rsidRPr="0042423F" w:rsidR="00CE3C4F">
        <w:t xml:space="preserve"> da se </w:t>
      </w:r>
      <w:r>
        <w:t xml:space="preserve">ista ovlasti da </w:t>
      </w:r>
      <w:r w:rsidRPr="0042423F">
        <w:t>pov</w:t>
      </w:r>
      <w:r>
        <w:t xml:space="preserve">uče tužbu </w:t>
      </w:r>
      <w:r w:rsidRPr="0042423F">
        <w:t>stečajnog dužnika protiv Grada Zadra u predmetu Trgovačkog suda u Zadru, poslovni broj P-233/2014.</w:t>
      </w:r>
    </w:p>
    <w:p w:rsidRPr="0042423F" w:rsidR="00DE427E" w:rsidP="00CE3C4F" w:rsidRDefault="00DE427E">
      <w:pPr>
        <w:pStyle w:val="Odlomakpopisa"/>
        <w:tabs>
          <w:tab w:val="left" w:pos="960"/>
        </w:tabs>
        <w:ind w:left="0"/>
        <w:jc w:val="both"/>
      </w:pPr>
    </w:p>
    <w:p w:rsidR="000071B5" w:rsidP="000071B5" w:rsidRDefault="00CE3C4F">
      <w:pPr>
        <w:tabs>
          <w:tab w:val="left" w:pos="960"/>
        </w:tabs>
        <w:jc w:val="both"/>
      </w:pPr>
      <w:r w:rsidRPr="0042423F">
        <w:t xml:space="preserve">Za prijedlog stečajne upraviteljice </w:t>
      </w:r>
      <w:r w:rsidRPr="0042423F" w:rsidR="000071B5">
        <w:t>glasuj</w:t>
      </w:r>
      <w:r w:rsidRPr="0042423F">
        <w:t>u svi vjerovnici</w:t>
      </w:r>
      <w:r w:rsidR="006B5318">
        <w:t xml:space="preserve"> ANA SMOLJAN ZANKI i GRAD ZADAR</w:t>
      </w:r>
      <w:r w:rsidR="006850FA">
        <w:t xml:space="preserve"> = </w:t>
      </w:r>
      <w:r w:rsidRPr="0042423F" w:rsidR="000071B5">
        <w:t xml:space="preserve"> </w:t>
      </w:r>
      <w:r w:rsidR="006850FA">
        <w:t>11.708.774,79 kn.</w:t>
      </w:r>
    </w:p>
    <w:p w:rsidR="006B5318" w:rsidP="000071B5" w:rsidRDefault="006B5318">
      <w:pPr>
        <w:tabs>
          <w:tab w:val="left" w:pos="960"/>
        </w:tabs>
        <w:jc w:val="both"/>
      </w:pPr>
    </w:p>
    <w:p w:rsidR="006B5318" w:rsidP="000071B5" w:rsidRDefault="006B5318">
      <w:pPr>
        <w:tabs>
          <w:tab w:val="left" w:pos="960"/>
        </w:tabs>
        <w:jc w:val="both"/>
      </w:pPr>
      <w:r>
        <w:t>Protiv prijedloga stečajne upraviteljice glasuju vjerovnici REPUBLIKA HRVATSKA</w:t>
      </w:r>
      <w:r w:rsidR="00A277BC">
        <w:t xml:space="preserve">, </w:t>
      </w:r>
      <w:r w:rsidRPr="00B66021" w:rsidR="00A277BC">
        <w:t>ERSTE&amp;STEIERMARKISCHE BANK d.d., Rijeka</w:t>
      </w:r>
      <w:r>
        <w:t xml:space="preserve"> i HRVATSKE ŠUME d.o.o.</w:t>
      </w:r>
      <w:r w:rsidR="006850FA">
        <w:t xml:space="preserve"> = 44.504.895,22 kn.</w:t>
      </w:r>
    </w:p>
    <w:p w:rsidR="006B5318" w:rsidP="000071B5" w:rsidRDefault="006B5318">
      <w:pPr>
        <w:tabs>
          <w:tab w:val="left" w:pos="960"/>
        </w:tabs>
        <w:jc w:val="both"/>
      </w:pPr>
    </w:p>
    <w:p w:rsidR="006B5318" w:rsidP="000071B5" w:rsidRDefault="006B5318">
      <w:pPr>
        <w:tabs>
          <w:tab w:val="left" w:pos="960"/>
        </w:tabs>
        <w:jc w:val="both"/>
      </w:pPr>
      <w:r>
        <w:t>Vjerovnik OTP BANKA HRVATSKA d.d. je suzdržan.</w:t>
      </w:r>
    </w:p>
    <w:p w:rsidR="0042423F" w:rsidP="000071B5" w:rsidRDefault="0042423F">
      <w:pPr>
        <w:tabs>
          <w:tab w:val="left" w:pos="960"/>
        </w:tabs>
        <w:jc w:val="both"/>
      </w:pPr>
    </w:p>
    <w:p w:rsidRPr="0042423F" w:rsidR="0042423F" w:rsidP="0042423F" w:rsidRDefault="0042423F">
      <w:pPr>
        <w:jc w:val="both"/>
      </w:pPr>
      <w:r>
        <w:t xml:space="preserve">2. </w:t>
      </w:r>
      <w:r>
        <w:tab/>
        <w:t>D</w:t>
      </w:r>
      <w:r w:rsidRPr="0042423F">
        <w:t xml:space="preserve">aje na glasovanje prijedlog stečajne upraviteljice da se </w:t>
      </w:r>
      <w:r>
        <w:t xml:space="preserve">ista ovlasti da </w:t>
      </w:r>
      <w:r w:rsidRPr="0042423F">
        <w:t>pov</w:t>
      </w:r>
      <w:r>
        <w:t xml:space="preserve">uče tužbu </w:t>
      </w:r>
      <w:r w:rsidRPr="0042423F">
        <w:t xml:space="preserve">stečajnog dužnika protiv Lignum d.o.o. u predmetu Trgovačkog suda u Zadru, poslovni broj P-18/2017. </w:t>
      </w:r>
    </w:p>
    <w:p w:rsidRPr="0042423F" w:rsidR="0042423F" w:rsidP="0042423F" w:rsidRDefault="0042423F">
      <w:pPr>
        <w:jc w:val="both"/>
      </w:pPr>
    </w:p>
    <w:p w:rsidR="002C17B4" w:rsidP="002C17B4" w:rsidRDefault="002C17B4">
      <w:pPr>
        <w:tabs>
          <w:tab w:val="left" w:pos="960"/>
        </w:tabs>
        <w:jc w:val="both"/>
      </w:pPr>
      <w:r w:rsidRPr="0042423F">
        <w:t>Za prijedlog stečajne upraviteljice glasuju svi vjerovnici</w:t>
      </w:r>
      <w:r>
        <w:t xml:space="preserve"> ANA SMOLJAN ZANKI i GRAD ZADAR</w:t>
      </w:r>
      <w:r w:rsidR="006850FA">
        <w:t xml:space="preserve"> = </w:t>
      </w:r>
      <w:r w:rsidRPr="0042423F" w:rsidR="006850FA">
        <w:t xml:space="preserve"> </w:t>
      </w:r>
      <w:r w:rsidR="006850FA">
        <w:t xml:space="preserve">11.708.774,79 kn. </w:t>
      </w:r>
      <w:r w:rsidRPr="0042423F">
        <w:t xml:space="preserve"> </w:t>
      </w:r>
    </w:p>
    <w:p w:rsidR="002C17B4" w:rsidP="002C17B4" w:rsidRDefault="002C17B4">
      <w:pPr>
        <w:tabs>
          <w:tab w:val="left" w:pos="960"/>
        </w:tabs>
        <w:jc w:val="both"/>
      </w:pPr>
    </w:p>
    <w:p w:rsidR="006850FA" w:rsidP="006850FA" w:rsidRDefault="002C17B4">
      <w:pPr>
        <w:tabs>
          <w:tab w:val="left" w:pos="960"/>
        </w:tabs>
        <w:jc w:val="both"/>
      </w:pPr>
      <w:r>
        <w:t>Protiv prijedloga stečajne upraviteljice glasuju vjerovnici REPUBLIKA HRVATSKA</w:t>
      </w:r>
      <w:r w:rsidR="00A277BC">
        <w:t xml:space="preserve">, </w:t>
      </w:r>
      <w:r w:rsidRPr="00B66021" w:rsidR="00A277BC">
        <w:t>ERSTE&amp;STEIERMARKISCHE BANK d.d., Rijeka</w:t>
      </w:r>
      <w:r w:rsidR="00A277BC">
        <w:t xml:space="preserve"> </w:t>
      </w:r>
      <w:r>
        <w:t>i HRVATSKE ŠUME d.o.o.</w:t>
      </w:r>
      <w:r w:rsidR="006850FA">
        <w:t xml:space="preserve"> </w:t>
      </w:r>
      <w:r w:rsidR="00A277BC">
        <w:t xml:space="preserve"> </w:t>
      </w:r>
      <w:r w:rsidR="006850FA">
        <w:t>= 44.504.895,22 kn.</w:t>
      </w:r>
    </w:p>
    <w:p w:rsidR="002C17B4" w:rsidP="002C17B4" w:rsidRDefault="002C17B4">
      <w:pPr>
        <w:tabs>
          <w:tab w:val="left" w:pos="960"/>
        </w:tabs>
        <w:jc w:val="both"/>
      </w:pPr>
    </w:p>
    <w:p w:rsidR="0042423F" w:rsidP="000071B5" w:rsidRDefault="002C17B4">
      <w:pPr>
        <w:tabs>
          <w:tab w:val="left" w:pos="960"/>
        </w:tabs>
        <w:jc w:val="both"/>
      </w:pPr>
      <w:r>
        <w:t>Vjerovnik OTP BANKA HRVATSKA d.d. je suzdržan.</w:t>
      </w:r>
    </w:p>
    <w:p w:rsidR="006850FA" w:rsidP="000071B5" w:rsidRDefault="006850FA">
      <w:pPr>
        <w:tabs>
          <w:tab w:val="left" w:pos="960"/>
        </w:tabs>
        <w:jc w:val="both"/>
      </w:pPr>
    </w:p>
    <w:p w:rsidR="006850FA" w:rsidP="000071B5" w:rsidRDefault="006850FA">
      <w:pPr>
        <w:tabs>
          <w:tab w:val="left" w:pos="960"/>
        </w:tabs>
        <w:jc w:val="both"/>
      </w:pPr>
      <w:r>
        <w:t xml:space="preserve">Konstatira se da skupština vjerovnika nije donijela odluke o prijedlozima stečajne upraviteljice </w:t>
      </w:r>
      <w:r w:rsidR="00CB12A3">
        <w:t xml:space="preserve">jer je zbroj glasova vjerovnika koji su glasali protiv veći od broja glasova, tj. iznosa tražbina vjerovnika koji su glasali za. </w:t>
      </w:r>
    </w:p>
    <w:p w:rsidR="006850FA" w:rsidP="000071B5" w:rsidRDefault="006850FA">
      <w:pPr>
        <w:tabs>
          <w:tab w:val="left" w:pos="960"/>
        </w:tabs>
        <w:jc w:val="both"/>
      </w:pPr>
    </w:p>
    <w:p w:rsidR="00B574C3" w:rsidP="00DE427E" w:rsidRDefault="00B574C3">
      <w:pPr>
        <w:jc w:val="both"/>
      </w:pPr>
      <w:r w:rsidRPr="0042423F">
        <w:t xml:space="preserve">Dovršeno u </w:t>
      </w:r>
      <w:r w:rsidRPr="0042423F" w:rsidR="00A85667">
        <w:t xml:space="preserve"> </w:t>
      </w:r>
      <w:r w:rsidR="00CB12A3">
        <w:t>10,30</w:t>
      </w:r>
      <w:r w:rsidRPr="0042423F" w:rsidR="00716C9A">
        <w:t xml:space="preserve"> </w:t>
      </w:r>
      <w:r w:rsidRPr="0042423F">
        <w:t>sati.</w:t>
      </w:r>
    </w:p>
    <w:p w:rsidR="00CB12A3" w:rsidP="00DE427E" w:rsidRDefault="00CB12A3">
      <w:pPr>
        <w:jc w:val="both"/>
      </w:pPr>
    </w:p>
    <w:p w:rsidRPr="0042423F" w:rsidR="00CB12A3" w:rsidP="00DE427E" w:rsidRDefault="00CB12A3">
      <w:pPr>
        <w:jc w:val="both"/>
      </w:pPr>
    </w:p>
    <w:p w:rsidRPr="0042423F" w:rsidR="002275A4" w:rsidP="00B574C3" w:rsidRDefault="002275A4">
      <w:pPr>
        <w:tabs>
          <w:tab w:val="left" w:pos="0"/>
          <w:tab w:val="left" w:pos="360"/>
        </w:tabs>
      </w:pPr>
    </w:p>
    <w:p w:rsidRPr="0042423F" w:rsidR="00B574C3" w:rsidP="00B574C3" w:rsidRDefault="00B574C3">
      <w:pPr>
        <w:tabs>
          <w:tab w:val="left" w:pos="0"/>
          <w:tab w:val="left" w:pos="360"/>
        </w:tabs>
        <w:jc w:val="center"/>
      </w:pPr>
      <w:r w:rsidRPr="0042423F">
        <w:t xml:space="preserve">                                                SUTKINJA</w:t>
      </w:r>
      <w:r w:rsidRPr="0042423F">
        <w:tab/>
      </w:r>
      <w:r w:rsidRPr="0042423F">
        <w:tab/>
      </w:r>
      <w:r w:rsidRPr="0042423F" w:rsidR="00DE427E">
        <w:t xml:space="preserve">    </w:t>
      </w:r>
      <w:r w:rsidRPr="0042423F" w:rsidR="00803400">
        <w:t>STEČAJNA</w:t>
      </w:r>
      <w:r w:rsidRPr="0042423F">
        <w:t xml:space="preserve"> UPRAVITELJ</w:t>
      </w:r>
      <w:r w:rsidRPr="0042423F" w:rsidR="00803400">
        <w:t>ICA</w:t>
      </w:r>
    </w:p>
    <w:p w:rsidRPr="0042423F" w:rsidR="00B574C3" w:rsidP="00B574C3" w:rsidRDefault="00B574C3">
      <w:pPr>
        <w:tabs>
          <w:tab w:val="left" w:pos="0"/>
          <w:tab w:val="left" w:pos="360"/>
        </w:tabs>
        <w:jc w:val="both"/>
      </w:pPr>
      <w:r w:rsidRPr="0042423F">
        <w:tab/>
      </w:r>
    </w:p>
    <w:p w:rsidRPr="0042423F" w:rsidR="00B574C3" w:rsidP="00B574C3" w:rsidRDefault="00B574C3">
      <w:pPr>
        <w:tabs>
          <w:tab w:val="left" w:pos="0"/>
          <w:tab w:val="left" w:pos="360"/>
        </w:tabs>
        <w:jc w:val="both"/>
      </w:pPr>
    </w:p>
    <w:p w:rsidR="0042423F" w:rsidP="00D534B7" w:rsidRDefault="00B574C3">
      <w:pPr>
        <w:tabs>
          <w:tab w:val="left" w:pos="0"/>
          <w:tab w:val="left" w:pos="360"/>
        </w:tabs>
      </w:pPr>
      <w:r w:rsidRPr="0042423F">
        <w:t xml:space="preserve">                                                   </w:t>
      </w:r>
      <w:r w:rsidR="0042423F">
        <w:t xml:space="preserve">    </w:t>
      </w:r>
    </w:p>
    <w:p w:rsidRPr="0042423F" w:rsidR="00255534" w:rsidP="0042423F" w:rsidRDefault="0042423F">
      <w:pPr>
        <w:tabs>
          <w:tab w:val="left" w:pos="0"/>
          <w:tab w:val="left" w:pos="360"/>
        </w:tabs>
      </w:pPr>
      <w:r>
        <w:tab/>
      </w:r>
      <w:r>
        <w:tab/>
      </w:r>
      <w:r>
        <w:tab/>
      </w:r>
      <w:r>
        <w:tab/>
      </w:r>
      <w:r>
        <w:tab/>
        <w:t xml:space="preserve">       </w:t>
      </w:r>
      <w:r w:rsidRPr="0042423F" w:rsidR="00B574C3">
        <w:t>ZAPISNIČAR</w:t>
      </w:r>
      <w:r>
        <w:t>KA</w:t>
      </w:r>
      <w:r w:rsidRPr="0042423F" w:rsidR="00B574C3">
        <w:t xml:space="preserve">           </w:t>
      </w:r>
      <w:r w:rsidRPr="0042423F" w:rsidR="00CE3C4F">
        <w:t xml:space="preserve">                      VJEROVNICI</w:t>
      </w:r>
    </w:p>
    <w:sectPr w:rsidRPr="0042423F" w:rsidR="00255534" w:rsidSect="0060068D">
      <w:headerReference w:type="even" r:id="rId10"/>
      <w:headerReference w:type="default" r:id="rId11"/>
      <w:footerReference w:type="even" r:id="rId12"/>
      <w:footerReference w:type="default" r:id="rId13"/>
      <w:headerReference w:type="first" r:id="rId14"/>
      <w:pgSz w:w="11906" w:h="16838"/>
      <w:pgMar w:top="1104" w:right="1021" w:bottom="1560"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050BA" w:rsidRDefault="00E050BA">
      <w:r>
        <w:separator/>
      </w:r>
    </w:p>
  </w:endnote>
  <w:endnote w:type="continuationSeparator" w:id="0">
    <w:p w:rsidR="00E050BA" w:rsidRDefault="00E050B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38E2" w:rsidP="00F6328A" w:rsidRDefault="00AC38E2">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AC38E2" w:rsidP="00F6328A" w:rsidRDefault="00AC38E2">
    <w:pPr>
      <w:pStyle w:val="Podnoje"/>
      <w:ind w:right="360"/>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38E2" w:rsidP="00F6328A" w:rsidRDefault="00AC38E2">
    <w:pPr>
      <w:pStyle w:val="Podnoje"/>
      <w:framePr w:wrap="around" w:hAnchor="margin" w:vAnchor="text" w:xAlign="right" w:y="1"/>
      <w:rPr>
        <w:rStyle w:val="Brojstranice"/>
      </w:rPr>
    </w:pPr>
  </w:p>
  <w:p w:rsidR="00AC38E2" w:rsidP="005973AD" w:rsidRDefault="00AC38E2">
    <w:pPr>
      <w:pStyle w:val="Podnoje"/>
      <w:ind w:right="360"/>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050BA" w:rsidRDefault="00E050BA">
      <w:r>
        <w:separator/>
      </w:r>
    </w:p>
  </w:footnote>
  <w:footnote w:type="continuationSeparator" w:id="0">
    <w:p w:rsidR="00E050BA" w:rsidRDefault="00E050B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38E2" w:rsidP="007A1E4E" w:rsidRDefault="00AC38E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C38E2" w:rsidRDefault="00AC38E2">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38E2" w:rsidP="007A1E4E" w:rsidRDefault="00AC38E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65211">
      <w:rPr>
        <w:rStyle w:val="Brojstranice"/>
        <w:noProof/>
      </w:rPr>
      <w:t>5</w:t>
    </w:r>
    <w:r>
      <w:rPr>
        <w:rStyle w:val="Brojstranice"/>
      </w:rPr>
      <w:fldChar w:fldCharType="end"/>
    </w:r>
  </w:p>
  <w:p w:rsidR="0042423F" w:rsidP="00C32D1C" w:rsidRDefault="00AC38E2">
    <w:pPr>
      <w:pStyle w:val="Zaglavlje"/>
      <w:jc w:val="right"/>
    </w:pPr>
    <w:r>
      <w:tab/>
    </w:r>
  </w:p>
  <w:p w:rsidRPr="00A85667" w:rsidR="00AC38E2" w:rsidP="00C32D1C" w:rsidRDefault="0042423F">
    <w:pPr>
      <w:pStyle w:val="Zaglavlje"/>
      <w:jc w:val="right"/>
      <w:rPr>
        <w:sz w:val="22"/>
        <w:szCs w:val="22"/>
      </w:rPr>
    </w:pPr>
    <w:r>
      <w:tab/>
    </w:r>
    <w:r>
      <w:tab/>
    </w:r>
    <w:r w:rsidRPr="00A85667" w:rsidR="00C32D1C">
      <w:rPr>
        <w:sz w:val="22"/>
        <w:szCs w:val="22"/>
      </w:rPr>
      <w:t>Poslovni broj: 2 St-</w:t>
    </w:r>
    <w:r w:rsidR="00803400">
      <w:rPr>
        <w:sz w:val="22"/>
        <w:szCs w:val="22"/>
      </w:rPr>
      <w:t>794</w:t>
    </w:r>
    <w:r w:rsidRPr="00A85667" w:rsidR="00C32D1C">
      <w:rPr>
        <w:sz w:val="22"/>
        <w:szCs w:val="22"/>
      </w:rPr>
      <w:t>/</w:t>
    </w:r>
    <w:r>
      <w:rPr>
        <w:sz w:val="22"/>
        <w:szCs w:val="22"/>
      </w:rPr>
      <w:t>2016-364</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85667" w:rsidR="00AF4B82" w:rsidP="00AF4B82" w:rsidRDefault="00AF4B82">
    <w:pPr>
      <w:pStyle w:val="Zaglavlje"/>
      <w:jc w:val="right"/>
      <w:rPr>
        <w:sz w:val="22"/>
        <w:szCs w:val="22"/>
      </w:rPr>
    </w:pPr>
    <w:r w:rsidRPr="00A85667">
      <w:rPr>
        <w:sz w:val="22"/>
        <w:szCs w:val="22"/>
      </w:rPr>
      <w:t>P</w:t>
    </w:r>
    <w:r w:rsidRPr="00A85667" w:rsidR="00E571CC">
      <w:rPr>
        <w:sz w:val="22"/>
        <w:szCs w:val="22"/>
      </w:rPr>
      <w:t>oslovni broj: 2 St-</w:t>
    </w:r>
    <w:r w:rsidR="00803400">
      <w:rPr>
        <w:sz w:val="22"/>
        <w:szCs w:val="22"/>
      </w:rPr>
      <w:t>794</w:t>
    </w:r>
    <w:r w:rsidRPr="00A85667" w:rsidR="00E571CC">
      <w:rPr>
        <w:sz w:val="22"/>
        <w:szCs w:val="22"/>
      </w:rPr>
      <w:t>/</w:t>
    </w:r>
    <w:r w:rsidR="00802162">
      <w:rPr>
        <w:sz w:val="22"/>
        <w:szCs w:val="22"/>
      </w:rPr>
      <w:t>20</w:t>
    </w:r>
    <w:r w:rsidRPr="00A85667" w:rsidR="00E571CC">
      <w:rPr>
        <w:sz w:val="22"/>
        <w:szCs w:val="22"/>
      </w:rPr>
      <w:t>1</w:t>
    </w:r>
    <w:r w:rsidR="00803400">
      <w:rPr>
        <w:sz w:val="22"/>
        <w:szCs w:val="22"/>
      </w:rPr>
      <w:t>6</w:t>
    </w:r>
    <w:r w:rsidRPr="00A85667" w:rsidR="00E571CC">
      <w:rPr>
        <w:sz w:val="22"/>
        <w:szCs w:val="22"/>
      </w:rPr>
      <w:t>-</w:t>
    </w:r>
    <w:r w:rsidR="00E4356E">
      <w:rPr>
        <w:sz w:val="22"/>
        <w:szCs w:val="22"/>
      </w:rPr>
      <w:t>376</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447138"/>
    <w:multiLevelType w:val="hybridMultilevel"/>
    <w:tmpl w:val="DE3E77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1F2549C"/>
    <w:multiLevelType w:val="hybridMultilevel"/>
    <w:tmpl w:val="E0108394"/>
    <w:lvl w:ilvl="0" w:tplc="C3D666AA">
      <w:start w:val="36"/>
      <w:numFmt w:val="bullet"/>
      <w:lvlText w:val="-"/>
      <w:lvlJc w:val="left"/>
      <w:pPr>
        <w:ind w:left="502"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num w:numId="1">
    <w:abstractNumId w:val="1"/>
  </w:num>
  <w:num w:numId="2">
    <w:abstractNumId w:val="0"/>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08"/>
  <w:hyphenationZone w:val="425"/>
  <w:characterSpacingControl w:val="doNotCompress"/>
  <w:hdrShapeDefaults>
    <o:shapedefaults spidmax="204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1B5"/>
    <w:rsid w:val="00016627"/>
    <w:rsid w:val="00017C41"/>
    <w:rsid w:val="00020773"/>
    <w:rsid w:val="00020FF9"/>
    <w:rsid w:val="00021117"/>
    <w:rsid w:val="000218D4"/>
    <w:rsid w:val="00023D4D"/>
    <w:rsid w:val="0002543A"/>
    <w:rsid w:val="00026F5D"/>
    <w:rsid w:val="00027B23"/>
    <w:rsid w:val="00035448"/>
    <w:rsid w:val="000354AD"/>
    <w:rsid w:val="000411FC"/>
    <w:rsid w:val="00042E5E"/>
    <w:rsid w:val="0004681A"/>
    <w:rsid w:val="00053971"/>
    <w:rsid w:val="00053DB1"/>
    <w:rsid w:val="00054F30"/>
    <w:rsid w:val="00055ECA"/>
    <w:rsid w:val="00055F92"/>
    <w:rsid w:val="0005705C"/>
    <w:rsid w:val="00060102"/>
    <w:rsid w:val="00062D9E"/>
    <w:rsid w:val="000635BC"/>
    <w:rsid w:val="00063EC2"/>
    <w:rsid w:val="00077495"/>
    <w:rsid w:val="00081120"/>
    <w:rsid w:val="00083699"/>
    <w:rsid w:val="000852F8"/>
    <w:rsid w:val="00085CA4"/>
    <w:rsid w:val="00094A6B"/>
    <w:rsid w:val="000A089E"/>
    <w:rsid w:val="000A1B8B"/>
    <w:rsid w:val="000A5BE2"/>
    <w:rsid w:val="000A6AFE"/>
    <w:rsid w:val="000B0F49"/>
    <w:rsid w:val="000B5D1E"/>
    <w:rsid w:val="000B7EBA"/>
    <w:rsid w:val="000C770A"/>
    <w:rsid w:val="000D0305"/>
    <w:rsid w:val="000D2716"/>
    <w:rsid w:val="000D2731"/>
    <w:rsid w:val="000D2BBE"/>
    <w:rsid w:val="000D4CD5"/>
    <w:rsid w:val="000E64E6"/>
    <w:rsid w:val="000E6BEA"/>
    <w:rsid w:val="000E77C6"/>
    <w:rsid w:val="000F0FFB"/>
    <w:rsid w:val="000F29D4"/>
    <w:rsid w:val="000F4AE4"/>
    <w:rsid w:val="000F4F38"/>
    <w:rsid w:val="000F7E51"/>
    <w:rsid w:val="00103429"/>
    <w:rsid w:val="00104D9A"/>
    <w:rsid w:val="00111F14"/>
    <w:rsid w:val="00114B97"/>
    <w:rsid w:val="001171A3"/>
    <w:rsid w:val="00120AA1"/>
    <w:rsid w:val="001247A0"/>
    <w:rsid w:val="00126262"/>
    <w:rsid w:val="0013006B"/>
    <w:rsid w:val="001349DB"/>
    <w:rsid w:val="00135D10"/>
    <w:rsid w:val="00136059"/>
    <w:rsid w:val="0014621C"/>
    <w:rsid w:val="001505CA"/>
    <w:rsid w:val="00161E6E"/>
    <w:rsid w:val="001745F3"/>
    <w:rsid w:val="0017576C"/>
    <w:rsid w:val="00176BE0"/>
    <w:rsid w:val="00181233"/>
    <w:rsid w:val="001866F9"/>
    <w:rsid w:val="001910EF"/>
    <w:rsid w:val="00194860"/>
    <w:rsid w:val="001A4E34"/>
    <w:rsid w:val="001A62B1"/>
    <w:rsid w:val="001A6C3A"/>
    <w:rsid w:val="001C1D9A"/>
    <w:rsid w:val="001C37CF"/>
    <w:rsid w:val="001D2C10"/>
    <w:rsid w:val="001D5586"/>
    <w:rsid w:val="001D5976"/>
    <w:rsid w:val="001D602F"/>
    <w:rsid w:val="001D7631"/>
    <w:rsid w:val="001E18A0"/>
    <w:rsid w:val="001F3A44"/>
    <w:rsid w:val="001F488C"/>
    <w:rsid w:val="001F6E2E"/>
    <w:rsid w:val="001F74CC"/>
    <w:rsid w:val="00207B3E"/>
    <w:rsid w:val="00210D4C"/>
    <w:rsid w:val="002226C2"/>
    <w:rsid w:val="002232DF"/>
    <w:rsid w:val="002254BB"/>
    <w:rsid w:val="002275A4"/>
    <w:rsid w:val="002277C2"/>
    <w:rsid w:val="00227952"/>
    <w:rsid w:val="00227C13"/>
    <w:rsid w:val="00231F50"/>
    <w:rsid w:val="00233723"/>
    <w:rsid w:val="002342AD"/>
    <w:rsid w:val="00235DF6"/>
    <w:rsid w:val="0023789E"/>
    <w:rsid w:val="0024168F"/>
    <w:rsid w:val="00241DBB"/>
    <w:rsid w:val="00246CAC"/>
    <w:rsid w:val="00250D58"/>
    <w:rsid w:val="0025323A"/>
    <w:rsid w:val="00254D34"/>
    <w:rsid w:val="00255534"/>
    <w:rsid w:val="00256631"/>
    <w:rsid w:val="00262BC4"/>
    <w:rsid w:val="00266A1A"/>
    <w:rsid w:val="002706FD"/>
    <w:rsid w:val="002707BF"/>
    <w:rsid w:val="002742D3"/>
    <w:rsid w:val="00274AE2"/>
    <w:rsid w:val="00276A73"/>
    <w:rsid w:val="00281785"/>
    <w:rsid w:val="00282A95"/>
    <w:rsid w:val="00284201"/>
    <w:rsid w:val="00290E87"/>
    <w:rsid w:val="0029369A"/>
    <w:rsid w:val="00293D06"/>
    <w:rsid w:val="002A589B"/>
    <w:rsid w:val="002B2AB3"/>
    <w:rsid w:val="002B69E8"/>
    <w:rsid w:val="002C17B4"/>
    <w:rsid w:val="002D27C9"/>
    <w:rsid w:val="002E4344"/>
    <w:rsid w:val="002F144A"/>
    <w:rsid w:val="002F2BA1"/>
    <w:rsid w:val="002F3B0D"/>
    <w:rsid w:val="002F773D"/>
    <w:rsid w:val="00304EC4"/>
    <w:rsid w:val="003051C7"/>
    <w:rsid w:val="003060B0"/>
    <w:rsid w:val="003144E3"/>
    <w:rsid w:val="003204E7"/>
    <w:rsid w:val="003312B1"/>
    <w:rsid w:val="00344642"/>
    <w:rsid w:val="003451AF"/>
    <w:rsid w:val="0034770E"/>
    <w:rsid w:val="00350BDE"/>
    <w:rsid w:val="00351896"/>
    <w:rsid w:val="00352849"/>
    <w:rsid w:val="00353D6B"/>
    <w:rsid w:val="00355B7F"/>
    <w:rsid w:val="003618AB"/>
    <w:rsid w:val="003808D0"/>
    <w:rsid w:val="00380A1D"/>
    <w:rsid w:val="003814CE"/>
    <w:rsid w:val="00385E73"/>
    <w:rsid w:val="00386C43"/>
    <w:rsid w:val="00392FDC"/>
    <w:rsid w:val="003978D7"/>
    <w:rsid w:val="00397B00"/>
    <w:rsid w:val="003A3F9F"/>
    <w:rsid w:val="003A4486"/>
    <w:rsid w:val="003B0433"/>
    <w:rsid w:val="003B64AA"/>
    <w:rsid w:val="003B71A9"/>
    <w:rsid w:val="003C7367"/>
    <w:rsid w:val="003C7D82"/>
    <w:rsid w:val="003D1C88"/>
    <w:rsid w:val="003D253A"/>
    <w:rsid w:val="003D3DA8"/>
    <w:rsid w:val="003D4AB4"/>
    <w:rsid w:val="003D4AD3"/>
    <w:rsid w:val="003D5BCC"/>
    <w:rsid w:val="003D7506"/>
    <w:rsid w:val="003E5BA1"/>
    <w:rsid w:val="003E77E4"/>
    <w:rsid w:val="003F3E7C"/>
    <w:rsid w:val="003F76DD"/>
    <w:rsid w:val="00403A96"/>
    <w:rsid w:val="00406F02"/>
    <w:rsid w:val="00407096"/>
    <w:rsid w:val="004111F5"/>
    <w:rsid w:val="00413264"/>
    <w:rsid w:val="0041349B"/>
    <w:rsid w:val="0041393C"/>
    <w:rsid w:val="00423027"/>
    <w:rsid w:val="0042423F"/>
    <w:rsid w:val="004248D6"/>
    <w:rsid w:val="00430363"/>
    <w:rsid w:val="00430449"/>
    <w:rsid w:val="00431E52"/>
    <w:rsid w:val="00435883"/>
    <w:rsid w:val="00436B20"/>
    <w:rsid w:val="004408B8"/>
    <w:rsid w:val="00443B92"/>
    <w:rsid w:val="004454E0"/>
    <w:rsid w:val="00451CD0"/>
    <w:rsid w:val="00461C7B"/>
    <w:rsid w:val="004651CF"/>
    <w:rsid w:val="004676B3"/>
    <w:rsid w:val="00473DCA"/>
    <w:rsid w:val="00474BB2"/>
    <w:rsid w:val="00487F66"/>
    <w:rsid w:val="00492D2C"/>
    <w:rsid w:val="00495B65"/>
    <w:rsid w:val="00495C91"/>
    <w:rsid w:val="004973EF"/>
    <w:rsid w:val="004A3CD5"/>
    <w:rsid w:val="004A6D86"/>
    <w:rsid w:val="004A7281"/>
    <w:rsid w:val="004B3C41"/>
    <w:rsid w:val="004B5DA7"/>
    <w:rsid w:val="004C17E4"/>
    <w:rsid w:val="004C79A1"/>
    <w:rsid w:val="004D1878"/>
    <w:rsid w:val="004D1F3A"/>
    <w:rsid w:val="004D7C4F"/>
    <w:rsid w:val="004F2642"/>
    <w:rsid w:val="004F514D"/>
    <w:rsid w:val="004F5CC1"/>
    <w:rsid w:val="004F7EE9"/>
    <w:rsid w:val="00502355"/>
    <w:rsid w:val="00505953"/>
    <w:rsid w:val="005070AC"/>
    <w:rsid w:val="00507278"/>
    <w:rsid w:val="00510B3C"/>
    <w:rsid w:val="00513737"/>
    <w:rsid w:val="00514243"/>
    <w:rsid w:val="00515F13"/>
    <w:rsid w:val="00520AC6"/>
    <w:rsid w:val="00520BA8"/>
    <w:rsid w:val="005229CD"/>
    <w:rsid w:val="005336C2"/>
    <w:rsid w:val="00535C4F"/>
    <w:rsid w:val="005363B8"/>
    <w:rsid w:val="005434D0"/>
    <w:rsid w:val="0054405C"/>
    <w:rsid w:val="00544253"/>
    <w:rsid w:val="00550DB1"/>
    <w:rsid w:val="005559C3"/>
    <w:rsid w:val="005564CE"/>
    <w:rsid w:val="005568A9"/>
    <w:rsid w:val="00557D21"/>
    <w:rsid w:val="00557DBE"/>
    <w:rsid w:val="00560BE1"/>
    <w:rsid w:val="00561638"/>
    <w:rsid w:val="00562A79"/>
    <w:rsid w:val="0056502B"/>
    <w:rsid w:val="00565EC2"/>
    <w:rsid w:val="00570D3A"/>
    <w:rsid w:val="0057162C"/>
    <w:rsid w:val="005757CE"/>
    <w:rsid w:val="0058153F"/>
    <w:rsid w:val="005818AD"/>
    <w:rsid w:val="00583824"/>
    <w:rsid w:val="005846BA"/>
    <w:rsid w:val="005900E5"/>
    <w:rsid w:val="00593625"/>
    <w:rsid w:val="00593D26"/>
    <w:rsid w:val="005973AD"/>
    <w:rsid w:val="005A245E"/>
    <w:rsid w:val="005A6F9B"/>
    <w:rsid w:val="005A7505"/>
    <w:rsid w:val="005A7EA3"/>
    <w:rsid w:val="005B1F1E"/>
    <w:rsid w:val="005B245B"/>
    <w:rsid w:val="005B4CD7"/>
    <w:rsid w:val="005B5AF6"/>
    <w:rsid w:val="005B63B3"/>
    <w:rsid w:val="005B71E0"/>
    <w:rsid w:val="005C0C08"/>
    <w:rsid w:val="005C3746"/>
    <w:rsid w:val="005C3770"/>
    <w:rsid w:val="005D00DA"/>
    <w:rsid w:val="005D046C"/>
    <w:rsid w:val="005D2987"/>
    <w:rsid w:val="005D7E4D"/>
    <w:rsid w:val="005E0FAF"/>
    <w:rsid w:val="005E31A2"/>
    <w:rsid w:val="005E3879"/>
    <w:rsid w:val="005F4324"/>
    <w:rsid w:val="0060068D"/>
    <w:rsid w:val="00602A82"/>
    <w:rsid w:val="0060392B"/>
    <w:rsid w:val="0061090E"/>
    <w:rsid w:val="00610F28"/>
    <w:rsid w:val="00615378"/>
    <w:rsid w:val="0062111E"/>
    <w:rsid w:val="006241B9"/>
    <w:rsid w:val="00625BFD"/>
    <w:rsid w:val="00631702"/>
    <w:rsid w:val="0064044B"/>
    <w:rsid w:val="00642965"/>
    <w:rsid w:val="00647EAC"/>
    <w:rsid w:val="006559B1"/>
    <w:rsid w:val="00662D00"/>
    <w:rsid w:val="00662ECB"/>
    <w:rsid w:val="006640D5"/>
    <w:rsid w:val="00665567"/>
    <w:rsid w:val="00673707"/>
    <w:rsid w:val="00674715"/>
    <w:rsid w:val="00675075"/>
    <w:rsid w:val="006777D6"/>
    <w:rsid w:val="0068201B"/>
    <w:rsid w:val="00683FD0"/>
    <w:rsid w:val="006844BF"/>
    <w:rsid w:val="006850FA"/>
    <w:rsid w:val="0068605F"/>
    <w:rsid w:val="00696676"/>
    <w:rsid w:val="006A16A4"/>
    <w:rsid w:val="006A3CE1"/>
    <w:rsid w:val="006A6144"/>
    <w:rsid w:val="006B08A0"/>
    <w:rsid w:val="006B0B05"/>
    <w:rsid w:val="006B1782"/>
    <w:rsid w:val="006B5318"/>
    <w:rsid w:val="006C0E95"/>
    <w:rsid w:val="006C1CBA"/>
    <w:rsid w:val="006C5286"/>
    <w:rsid w:val="006C5B95"/>
    <w:rsid w:val="006D0841"/>
    <w:rsid w:val="006D16D7"/>
    <w:rsid w:val="006D21F5"/>
    <w:rsid w:val="006D41E9"/>
    <w:rsid w:val="006D42F7"/>
    <w:rsid w:val="006D7C58"/>
    <w:rsid w:val="006E2609"/>
    <w:rsid w:val="006E4E2E"/>
    <w:rsid w:val="006F016D"/>
    <w:rsid w:val="006F7386"/>
    <w:rsid w:val="00703AE7"/>
    <w:rsid w:val="00706053"/>
    <w:rsid w:val="007061B7"/>
    <w:rsid w:val="00706338"/>
    <w:rsid w:val="00711320"/>
    <w:rsid w:val="00715E27"/>
    <w:rsid w:val="00716C9A"/>
    <w:rsid w:val="00716FAC"/>
    <w:rsid w:val="00717EEB"/>
    <w:rsid w:val="00720FDD"/>
    <w:rsid w:val="00722866"/>
    <w:rsid w:val="0072482E"/>
    <w:rsid w:val="00730BAC"/>
    <w:rsid w:val="00735961"/>
    <w:rsid w:val="00735C8C"/>
    <w:rsid w:val="00737945"/>
    <w:rsid w:val="00741619"/>
    <w:rsid w:val="007421CB"/>
    <w:rsid w:val="00742C73"/>
    <w:rsid w:val="00747D36"/>
    <w:rsid w:val="007525E6"/>
    <w:rsid w:val="007553CE"/>
    <w:rsid w:val="007569AC"/>
    <w:rsid w:val="007602A4"/>
    <w:rsid w:val="00760A27"/>
    <w:rsid w:val="0076315C"/>
    <w:rsid w:val="0078413B"/>
    <w:rsid w:val="007842D8"/>
    <w:rsid w:val="00785A8C"/>
    <w:rsid w:val="00793487"/>
    <w:rsid w:val="00794B34"/>
    <w:rsid w:val="007A1A72"/>
    <w:rsid w:val="007A1CE9"/>
    <w:rsid w:val="007A1E4E"/>
    <w:rsid w:val="007A3646"/>
    <w:rsid w:val="007A4666"/>
    <w:rsid w:val="007A5504"/>
    <w:rsid w:val="007A606C"/>
    <w:rsid w:val="007A622E"/>
    <w:rsid w:val="007A71B4"/>
    <w:rsid w:val="007B2CAF"/>
    <w:rsid w:val="007C023A"/>
    <w:rsid w:val="007C5577"/>
    <w:rsid w:val="007D0972"/>
    <w:rsid w:val="007D2E1E"/>
    <w:rsid w:val="007D700A"/>
    <w:rsid w:val="007E1067"/>
    <w:rsid w:val="007E33AF"/>
    <w:rsid w:val="007E5003"/>
    <w:rsid w:val="007E51D0"/>
    <w:rsid w:val="007E66E3"/>
    <w:rsid w:val="007E6E5B"/>
    <w:rsid w:val="0080028D"/>
    <w:rsid w:val="00802162"/>
    <w:rsid w:val="00803400"/>
    <w:rsid w:val="00803772"/>
    <w:rsid w:val="00816F74"/>
    <w:rsid w:val="00817F8A"/>
    <w:rsid w:val="008278C0"/>
    <w:rsid w:val="00834395"/>
    <w:rsid w:val="00851230"/>
    <w:rsid w:val="00853AF4"/>
    <w:rsid w:val="00862814"/>
    <w:rsid w:val="00870E5E"/>
    <w:rsid w:val="008721BC"/>
    <w:rsid w:val="008723DE"/>
    <w:rsid w:val="00872C6A"/>
    <w:rsid w:val="008734C2"/>
    <w:rsid w:val="0088213C"/>
    <w:rsid w:val="00883375"/>
    <w:rsid w:val="00887049"/>
    <w:rsid w:val="00894FA1"/>
    <w:rsid w:val="00895E74"/>
    <w:rsid w:val="008A4723"/>
    <w:rsid w:val="008A5BB7"/>
    <w:rsid w:val="008B4F3E"/>
    <w:rsid w:val="008B7CD1"/>
    <w:rsid w:val="008C0574"/>
    <w:rsid w:val="008C20B5"/>
    <w:rsid w:val="008C49D1"/>
    <w:rsid w:val="008C50D6"/>
    <w:rsid w:val="008D0F73"/>
    <w:rsid w:val="008D28C0"/>
    <w:rsid w:val="008D2F1C"/>
    <w:rsid w:val="008D3E98"/>
    <w:rsid w:val="008D698C"/>
    <w:rsid w:val="008D7A10"/>
    <w:rsid w:val="008E1C85"/>
    <w:rsid w:val="008E4FFE"/>
    <w:rsid w:val="008F65C5"/>
    <w:rsid w:val="0090269F"/>
    <w:rsid w:val="009060A9"/>
    <w:rsid w:val="009062F6"/>
    <w:rsid w:val="009100B1"/>
    <w:rsid w:val="00910864"/>
    <w:rsid w:val="00912708"/>
    <w:rsid w:val="00913B3B"/>
    <w:rsid w:val="009141AD"/>
    <w:rsid w:val="0092530C"/>
    <w:rsid w:val="00931960"/>
    <w:rsid w:val="009321F3"/>
    <w:rsid w:val="009332E0"/>
    <w:rsid w:val="009337F6"/>
    <w:rsid w:val="00937EAD"/>
    <w:rsid w:val="00941683"/>
    <w:rsid w:val="00943DAC"/>
    <w:rsid w:val="00944F3D"/>
    <w:rsid w:val="00951F2F"/>
    <w:rsid w:val="009526CC"/>
    <w:rsid w:val="00955BC0"/>
    <w:rsid w:val="009601B1"/>
    <w:rsid w:val="009613A0"/>
    <w:rsid w:val="00971689"/>
    <w:rsid w:val="00973306"/>
    <w:rsid w:val="00974CA2"/>
    <w:rsid w:val="00976DF6"/>
    <w:rsid w:val="009825F9"/>
    <w:rsid w:val="00983B02"/>
    <w:rsid w:val="009850DC"/>
    <w:rsid w:val="00986742"/>
    <w:rsid w:val="009931FF"/>
    <w:rsid w:val="00996D68"/>
    <w:rsid w:val="00996E8C"/>
    <w:rsid w:val="009A243F"/>
    <w:rsid w:val="009B2D5D"/>
    <w:rsid w:val="009B3153"/>
    <w:rsid w:val="009B69FC"/>
    <w:rsid w:val="009B718F"/>
    <w:rsid w:val="009C364F"/>
    <w:rsid w:val="009C7BC8"/>
    <w:rsid w:val="009D0F51"/>
    <w:rsid w:val="009D4619"/>
    <w:rsid w:val="009D52FC"/>
    <w:rsid w:val="009D70E1"/>
    <w:rsid w:val="009E0351"/>
    <w:rsid w:val="009E6887"/>
    <w:rsid w:val="009E7BEE"/>
    <w:rsid w:val="009F04D8"/>
    <w:rsid w:val="009F0C08"/>
    <w:rsid w:val="009F0D0F"/>
    <w:rsid w:val="009F10BF"/>
    <w:rsid w:val="00A009F0"/>
    <w:rsid w:val="00A00D65"/>
    <w:rsid w:val="00A011B5"/>
    <w:rsid w:val="00A12DBE"/>
    <w:rsid w:val="00A13FD5"/>
    <w:rsid w:val="00A145D7"/>
    <w:rsid w:val="00A1558B"/>
    <w:rsid w:val="00A156EA"/>
    <w:rsid w:val="00A166E2"/>
    <w:rsid w:val="00A222B8"/>
    <w:rsid w:val="00A22D4F"/>
    <w:rsid w:val="00A24CB2"/>
    <w:rsid w:val="00A25558"/>
    <w:rsid w:val="00A277BC"/>
    <w:rsid w:val="00A34EF9"/>
    <w:rsid w:val="00A404B3"/>
    <w:rsid w:val="00A44908"/>
    <w:rsid w:val="00A44D58"/>
    <w:rsid w:val="00A44DB6"/>
    <w:rsid w:val="00A506BC"/>
    <w:rsid w:val="00A529D0"/>
    <w:rsid w:val="00A57DC7"/>
    <w:rsid w:val="00A60FE7"/>
    <w:rsid w:val="00A6336B"/>
    <w:rsid w:val="00A63816"/>
    <w:rsid w:val="00A771ED"/>
    <w:rsid w:val="00A838CA"/>
    <w:rsid w:val="00A854A0"/>
    <w:rsid w:val="00A85667"/>
    <w:rsid w:val="00A91721"/>
    <w:rsid w:val="00A9513A"/>
    <w:rsid w:val="00A95FF8"/>
    <w:rsid w:val="00AA0CBA"/>
    <w:rsid w:val="00AA1E83"/>
    <w:rsid w:val="00AB2F43"/>
    <w:rsid w:val="00AB3CA8"/>
    <w:rsid w:val="00AC23F3"/>
    <w:rsid w:val="00AC38E2"/>
    <w:rsid w:val="00AC462A"/>
    <w:rsid w:val="00AC68F3"/>
    <w:rsid w:val="00AD0536"/>
    <w:rsid w:val="00AD3EC9"/>
    <w:rsid w:val="00AD484B"/>
    <w:rsid w:val="00AD60E5"/>
    <w:rsid w:val="00AD6A28"/>
    <w:rsid w:val="00AE0B47"/>
    <w:rsid w:val="00AE7AFB"/>
    <w:rsid w:val="00AF2B71"/>
    <w:rsid w:val="00AF47E1"/>
    <w:rsid w:val="00AF4B82"/>
    <w:rsid w:val="00AF553E"/>
    <w:rsid w:val="00AF7313"/>
    <w:rsid w:val="00B00B06"/>
    <w:rsid w:val="00B01E32"/>
    <w:rsid w:val="00B1218F"/>
    <w:rsid w:val="00B12334"/>
    <w:rsid w:val="00B1362A"/>
    <w:rsid w:val="00B140ED"/>
    <w:rsid w:val="00B20604"/>
    <w:rsid w:val="00B25059"/>
    <w:rsid w:val="00B30A85"/>
    <w:rsid w:val="00B31693"/>
    <w:rsid w:val="00B416CB"/>
    <w:rsid w:val="00B4413B"/>
    <w:rsid w:val="00B54C33"/>
    <w:rsid w:val="00B55206"/>
    <w:rsid w:val="00B574C3"/>
    <w:rsid w:val="00B6560A"/>
    <w:rsid w:val="00B66021"/>
    <w:rsid w:val="00B725E9"/>
    <w:rsid w:val="00B75660"/>
    <w:rsid w:val="00B77917"/>
    <w:rsid w:val="00B90C51"/>
    <w:rsid w:val="00B90D1C"/>
    <w:rsid w:val="00B920E7"/>
    <w:rsid w:val="00B96B18"/>
    <w:rsid w:val="00BA26D4"/>
    <w:rsid w:val="00BA33ED"/>
    <w:rsid w:val="00BA50FA"/>
    <w:rsid w:val="00BA5B55"/>
    <w:rsid w:val="00BB4D88"/>
    <w:rsid w:val="00BB61EB"/>
    <w:rsid w:val="00BC3F26"/>
    <w:rsid w:val="00BC6390"/>
    <w:rsid w:val="00BC6A4E"/>
    <w:rsid w:val="00BD2010"/>
    <w:rsid w:val="00BD3142"/>
    <w:rsid w:val="00BF1E38"/>
    <w:rsid w:val="00BF5C18"/>
    <w:rsid w:val="00BF6D7F"/>
    <w:rsid w:val="00BF7A83"/>
    <w:rsid w:val="00C03BF9"/>
    <w:rsid w:val="00C03C6D"/>
    <w:rsid w:val="00C04012"/>
    <w:rsid w:val="00C045DD"/>
    <w:rsid w:val="00C1248F"/>
    <w:rsid w:val="00C1437F"/>
    <w:rsid w:val="00C24A51"/>
    <w:rsid w:val="00C326E5"/>
    <w:rsid w:val="00C32D1C"/>
    <w:rsid w:val="00C3352F"/>
    <w:rsid w:val="00C35553"/>
    <w:rsid w:val="00C35B5E"/>
    <w:rsid w:val="00C4095E"/>
    <w:rsid w:val="00C478A6"/>
    <w:rsid w:val="00C47E71"/>
    <w:rsid w:val="00C51A4B"/>
    <w:rsid w:val="00C5714F"/>
    <w:rsid w:val="00C61A45"/>
    <w:rsid w:val="00C62F30"/>
    <w:rsid w:val="00C65211"/>
    <w:rsid w:val="00C65584"/>
    <w:rsid w:val="00C6768B"/>
    <w:rsid w:val="00C67AD5"/>
    <w:rsid w:val="00C72B58"/>
    <w:rsid w:val="00C72F5A"/>
    <w:rsid w:val="00C73382"/>
    <w:rsid w:val="00C8086A"/>
    <w:rsid w:val="00C87A87"/>
    <w:rsid w:val="00C87EE5"/>
    <w:rsid w:val="00C9077B"/>
    <w:rsid w:val="00C941A2"/>
    <w:rsid w:val="00CA4463"/>
    <w:rsid w:val="00CA55D8"/>
    <w:rsid w:val="00CA7AB7"/>
    <w:rsid w:val="00CB12A3"/>
    <w:rsid w:val="00CB20C4"/>
    <w:rsid w:val="00CB4E95"/>
    <w:rsid w:val="00CB4F05"/>
    <w:rsid w:val="00CB7CDF"/>
    <w:rsid w:val="00CC2593"/>
    <w:rsid w:val="00CC4049"/>
    <w:rsid w:val="00CC73BF"/>
    <w:rsid w:val="00CD2861"/>
    <w:rsid w:val="00CD3984"/>
    <w:rsid w:val="00CD78E3"/>
    <w:rsid w:val="00CE061A"/>
    <w:rsid w:val="00CE3C4F"/>
    <w:rsid w:val="00CE481E"/>
    <w:rsid w:val="00CE4CCB"/>
    <w:rsid w:val="00CE51CC"/>
    <w:rsid w:val="00CE7CE5"/>
    <w:rsid w:val="00CF1B15"/>
    <w:rsid w:val="00CF7097"/>
    <w:rsid w:val="00D005A4"/>
    <w:rsid w:val="00D01733"/>
    <w:rsid w:val="00D03790"/>
    <w:rsid w:val="00D15E54"/>
    <w:rsid w:val="00D17978"/>
    <w:rsid w:val="00D21734"/>
    <w:rsid w:val="00D24D93"/>
    <w:rsid w:val="00D2751D"/>
    <w:rsid w:val="00D3093E"/>
    <w:rsid w:val="00D32296"/>
    <w:rsid w:val="00D41098"/>
    <w:rsid w:val="00D534B7"/>
    <w:rsid w:val="00D53FC5"/>
    <w:rsid w:val="00D54D72"/>
    <w:rsid w:val="00D57C73"/>
    <w:rsid w:val="00D6470E"/>
    <w:rsid w:val="00D715C3"/>
    <w:rsid w:val="00D71C21"/>
    <w:rsid w:val="00D765FC"/>
    <w:rsid w:val="00D83A63"/>
    <w:rsid w:val="00D86144"/>
    <w:rsid w:val="00D94940"/>
    <w:rsid w:val="00D964B1"/>
    <w:rsid w:val="00D97B2B"/>
    <w:rsid w:val="00DA2092"/>
    <w:rsid w:val="00DA609E"/>
    <w:rsid w:val="00DA672D"/>
    <w:rsid w:val="00DA7D90"/>
    <w:rsid w:val="00DA7E79"/>
    <w:rsid w:val="00DB6E22"/>
    <w:rsid w:val="00DC61AF"/>
    <w:rsid w:val="00DC74B1"/>
    <w:rsid w:val="00DC7A5B"/>
    <w:rsid w:val="00DD027C"/>
    <w:rsid w:val="00DD6A44"/>
    <w:rsid w:val="00DD6C3F"/>
    <w:rsid w:val="00DE1CC3"/>
    <w:rsid w:val="00DE2C3B"/>
    <w:rsid w:val="00DE40DC"/>
    <w:rsid w:val="00DE427E"/>
    <w:rsid w:val="00DE71C0"/>
    <w:rsid w:val="00DF3494"/>
    <w:rsid w:val="00DF7FE5"/>
    <w:rsid w:val="00E024CA"/>
    <w:rsid w:val="00E02D9D"/>
    <w:rsid w:val="00E04068"/>
    <w:rsid w:val="00E050BA"/>
    <w:rsid w:val="00E06331"/>
    <w:rsid w:val="00E07A70"/>
    <w:rsid w:val="00E109E7"/>
    <w:rsid w:val="00E115A2"/>
    <w:rsid w:val="00E1297A"/>
    <w:rsid w:val="00E170BD"/>
    <w:rsid w:val="00E17445"/>
    <w:rsid w:val="00E264C5"/>
    <w:rsid w:val="00E264D1"/>
    <w:rsid w:val="00E26BDC"/>
    <w:rsid w:val="00E30B86"/>
    <w:rsid w:val="00E4356E"/>
    <w:rsid w:val="00E4643C"/>
    <w:rsid w:val="00E47BDB"/>
    <w:rsid w:val="00E51179"/>
    <w:rsid w:val="00E51E33"/>
    <w:rsid w:val="00E54C18"/>
    <w:rsid w:val="00E571CC"/>
    <w:rsid w:val="00E57CDF"/>
    <w:rsid w:val="00E65ECA"/>
    <w:rsid w:val="00E71E12"/>
    <w:rsid w:val="00E7617B"/>
    <w:rsid w:val="00E76CBB"/>
    <w:rsid w:val="00E774F2"/>
    <w:rsid w:val="00E80238"/>
    <w:rsid w:val="00E80973"/>
    <w:rsid w:val="00E80E56"/>
    <w:rsid w:val="00E85732"/>
    <w:rsid w:val="00E86394"/>
    <w:rsid w:val="00E86B94"/>
    <w:rsid w:val="00E95E99"/>
    <w:rsid w:val="00EA5A7A"/>
    <w:rsid w:val="00EB270A"/>
    <w:rsid w:val="00EC0171"/>
    <w:rsid w:val="00EC2AA6"/>
    <w:rsid w:val="00EC3EC3"/>
    <w:rsid w:val="00ED0534"/>
    <w:rsid w:val="00ED52FE"/>
    <w:rsid w:val="00ED6A9B"/>
    <w:rsid w:val="00EE01B5"/>
    <w:rsid w:val="00EE1930"/>
    <w:rsid w:val="00EE2778"/>
    <w:rsid w:val="00EE7E92"/>
    <w:rsid w:val="00EF576C"/>
    <w:rsid w:val="00F00045"/>
    <w:rsid w:val="00F0158A"/>
    <w:rsid w:val="00F03862"/>
    <w:rsid w:val="00F04266"/>
    <w:rsid w:val="00F0638D"/>
    <w:rsid w:val="00F07713"/>
    <w:rsid w:val="00F10539"/>
    <w:rsid w:val="00F14D00"/>
    <w:rsid w:val="00F159C5"/>
    <w:rsid w:val="00F207C7"/>
    <w:rsid w:val="00F24AAD"/>
    <w:rsid w:val="00F30FD7"/>
    <w:rsid w:val="00F463E1"/>
    <w:rsid w:val="00F56439"/>
    <w:rsid w:val="00F57145"/>
    <w:rsid w:val="00F57F96"/>
    <w:rsid w:val="00F604BF"/>
    <w:rsid w:val="00F6328A"/>
    <w:rsid w:val="00F67C42"/>
    <w:rsid w:val="00F80803"/>
    <w:rsid w:val="00F953E6"/>
    <w:rsid w:val="00FA4E22"/>
    <w:rsid w:val="00FB15F7"/>
    <w:rsid w:val="00FB20C8"/>
    <w:rsid w:val="00FB4A02"/>
    <w:rsid w:val="00FB7750"/>
    <w:rsid w:val="00FC2AF3"/>
    <w:rsid w:val="00FC3D53"/>
    <w:rsid w:val="00FC576F"/>
    <w:rsid w:val="00FD570E"/>
    <w:rsid w:val="00FE18B8"/>
    <w:rsid w:val="00FE2E87"/>
    <w:rsid w:val="00FE3A31"/>
    <w:rsid w:val="00FE4904"/>
    <w:rsid w:val="00FE7145"/>
    <w:rsid w:val="00FE79E6"/>
    <w:rsid w:val="00FF0508"/>
    <w:rsid w:val="00FF4584"/>
    <w:rsid w:val="00FF673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spidmax="2048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link w:val="UvuenotijelotekstaChar"/>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semiHidden/>
    <w:rsid w:val="00CC73BF"/>
    <w:rPr>
      <w:rFonts w:ascii="Tahoma" w:hAnsi="Tahoma" w:cs="Tahoma"/>
      <w:sz w:val="16"/>
      <w:szCs w:val="16"/>
    </w:rPr>
  </w:style>
  <w:style w:type="paragraph" w:styleId="Zaglavlje">
    <w:name w:val="header"/>
    <w:basedOn w:val="Normal"/>
    <w:rsid w:val="005973AD"/>
    <w:pPr>
      <w:tabs>
        <w:tab w:val="center" w:pos="4536"/>
        <w:tab w:val="right" w:pos="9072"/>
      </w:tabs>
    </w:pPr>
  </w:style>
  <w:style w:type="character" w:styleId="UvuenotijelotekstaChar" w:customStyle="true">
    <w:name w:val="Uvučeno tijelo teksta Char"/>
    <w:link w:val="Uvuenotijeloteksta"/>
    <w:rsid w:val="00DE2C3B"/>
    <w:rPr>
      <w:rFonts w:ascii="Arial" w:hAnsi="Arial" w:cs="Arial"/>
      <w:sz w:val="24"/>
      <w:szCs w:val="24"/>
    </w:rPr>
  </w:style>
  <w:style w:type="paragraph" w:styleId="Odlomakpopisa">
    <w:name w:val="List Paragraph"/>
    <w:basedOn w:val="Normal"/>
    <w:uiPriority w:val="34"/>
    <w:qFormat/>
    <w:rsid w:val="009850DC"/>
    <w:pPr>
      <w:ind w:left="720"/>
      <w:contextualSpacing/>
    </w:pPr>
  </w:style>
  <w:style w:type="paragraph" w:styleId="Obinitekst">
    <w:name w:val="Plain Text"/>
    <w:basedOn w:val="Normal"/>
    <w:link w:val="ObinitekstChar"/>
    <w:rsid w:val="00DA672D"/>
    <w:rPr>
      <w:rFonts w:ascii="Courier New" w:hAnsi="Courier New"/>
      <w:sz w:val="20"/>
      <w:szCs w:val="20"/>
      <w:lang w:val="en-GB"/>
    </w:rPr>
  </w:style>
  <w:style w:type="character" w:styleId="ObinitekstChar" w:customStyle="true">
    <w:name w:val="Obični tekst Char"/>
    <w:basedOn w:val="Zadanifontodlomka"/>
    <w:link w:val="Obinitekst"/>
    <w:rsid w:val="00DA672D"/>
    <w:rPr>
      <w:rFonts w:ascii="Courier New" w:hAnsi="Courier New"/>
      <w:lang w:val="en-GB"/>
    </w:rPr>
  </w:style>
  <w:style w:type="paragraph" w:styleId="Bezproreda">
    <w:name w:val="No Spacing"/>
    <w:uiPriority w:val="1"/>
    <w:qFormat/>
    <w:rsid w:val="00D94940"/>
    <w:rPr>
      <w:rFonts w:asciiTheme="minorHAnsi" w:hAnsiTheme="minorHAnsi" w:eastAsiaTheme="minorHAnsi" w:cstheme="minorBidi"/>
      <w:sz w:val="22"/>
      <w:szCs w:val="22"/>
      <w:lang w:eastAsia="en-US"/>
    </w:rPr>
  </w:style>
  <w:style w:type="character" w:styleId="Tekstrezerviranogmjesta">
    <w:name w:val="Placeholder Text"/>
    <w:basedOn w:val="Zadanifontodlomka"/>
    <w:uiPriority w:val="99"/>
    <w:semiHidden/>
    <w:rsid w:val="000F0FFB"/>
    <w:rPr>
      <w:color w:val="808080"/>
      <w:bdr w:val="none" w:color="auto" w:sz="0" w:space="0"/>
      <w:shd w:val="clear" w:color="auto" w:fill="auto"/>
    </w:rPr>
  </w:style>
  <w:style w:type="character" w:styleId="eSPISCCParagraphDefaultFont" w:customStyle="true">
    <w:name w:val="eSPIS_CC_Paragraph Default Font"/>
    <w:basedOn w:val="Zadanifontodlomka"/>
    <w:rsid w:val="000F0FFB"/>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0F0FFB"/>
    <w:rPr>
      <w:bCs/>
      <w:bdr w:val="none" w:color="auto" w:sz="0" w:space="0"/>
      <w:shd w:val="clear" w:color="auto" w:fill="FFFFCC"/>
      <w:lang w:val="hr-HR"/>
    </w:rPr>
  </w:style>
  <w:style w:type="character" w:styleId="PozadinaSvijetloCrvena" w:customStyle="true">
    <w:name w:val="Pozadina_SvijetloCrvena"/>
    <w:basedOn w:val="eSPISCCParagraphDefaultFont"/>
    <w:rsid w:val="000F0FFB"/>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0F0FFB"/>
    <w:rPr>
      <w:rFonts w:ascii="Times New Roman" w:hAnsi="Times New Roman" w:cs="Times New Roman"/>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semiHidden/>
    <w:rsid w:val="00CC73BF"/>
    <w:rPr>
      <w:rFonts w:ascii="Tahoma" w:cs="Tahoma" w:hAnsi="Tahoma"/>
      <w:sz w:val="16"/>
      <w:szCs w:val="16"/>
    </w:rPr>
  </w:style>
  <w:style w:styleId="Zaglavlje" w:type="paragraph">
    <w:name w:val="header"/>
    <w:basedOn w:val="Normal"/>
    <w:rsid w:val="005973AD"/>
    <w:pPr>
      <w:tabs>
        <w:tab w:pos="4536" w:val="center"/>
        <w:tab w:pos="9072" w:val="right"/>
      </w:tabs>
    </w:pPr>
  </w:style>
  <w:style w:customStyle="1" w:styleId="UvuenotijelotekstaChar" w:type="character">
    <w:name w:val="Uvučeno tijelo teksta Char"/>
    <w:link w:val="Uvuenotijeloteksta"/>
    <w:rsid w:val="00DE2C3B"/>
    <w:rPr>
      <w:rFonts w:ascii="Arial" w:cs="Arial" w:hAnsi="Arial"/>
      <w:sz w:val="24"/>
      <w:szCs w:val="24"/>
    </w:rPr>
  </w:style>
  <w:style w:styleId="Odlomakpopisa" w:type="paragraph">
    <w:name w:val="List Paragraph"/>
    <w:basedOn w:val="Normal"/>
    <w:uiPriority w:val="34"/>
    <w:qFormat/>
    <w:rsid w:val="009850DC"/>
    <w:pPr>
      <w:ind w:left="720"/>
      <w:contextualSpacing/>
    </w:pPr>
  </w:style>
  <w:style w:styleId="Obinitekst" w:type="paragraph">
    <w:name w:val="Plain Text"/>
    <w:basedOn w:val="Normal"/>
    <w:link w:val="ObinitekstChar"/>
    <w:rsid w:val="00DA672D"/>
    <w:rPr>
      <w:rFonts w:ascii="Courier New" w:hAnsi="Courier New"/>
      <w:sz w:val="20"/>
      <w:szCs w:val="20"/>
      <w:lang w:val="en-GB"/>
    </w:rPr>
  </w:style>
  <w:style w:customStyle="1" w:styleId="ObinitekstChar" w:type="character">
    <w:name w:val="Obični tekst Char"/>
    <w:basedOn w:val="Zadanifontodlomka"/>
    <w:link w:val="Obinitekst"/>
    <w:rsid w:val="00DA672D"/>
    <w:rPr>
      <w:rFonts w:ascii="Courier New" w:hAnsi="Courier New"/>
      <w:lang w:val="en-GB"/>
    </w:rPr>
  </w:style>
  <w:style w:styleId="Bezproreda" w:type="paragraph">
    <w:name w:val="No Spacing"/>
    <w:uiPriority w:val="1"/>
    <w:qFormat/>
    <w:rsid w:val="00D94940"/>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0F0FFB"/>
    <w:rPr>
      <w:color w:val="808080"/>
      <w:bdr w:color="auto" w:space="0" w:sz="0" w:val="none"/>
      <w:shd w:color="auto" w:fill="auto" w:val="clear"/>
    </w:rPr>
  </w:style>
  <w:style w:customStyle="1" w:styleId="eSPISCCParagraphDefaultFont" w:type="character">
    <w:name w:val="eSPIS_CC_Paragraph Default Font"/>
    <w:basedOn w:val="Zadanifontodlomka"/>
    <w:rsid w:val="000F0FF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F0FFB"/>
    <w:rPr>
      <w:bCs/>
      <w:bdr w:color="auto" w:space="0" w:sz="0" w:val="none"/>
      <w:shd w:color="auto" w:fill="FFFFCC" w:val="clear"/>
      <w:lang w:val="hr-HR"/>
    </w:rPr>
  </w:style>
  <w:style w:customStyle="1" w:styleId="PozadinaSvijetloCrvena" w:type="character">
    <w:name w:val="Pozadina_SvijetloCrvena"/>
    <w:basedOn w:val="eSPISCCParagraphDefaultFont"/>
    <w:rsid w:val="000F0FFB"/>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F0FFB"/>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44609">
      <w:bodyDiv w:val="true"/>
      <w:marLeft w:val="0"/>
      <w:marRight w:val="0"/>
      <w:marTop w:val="0"/>
      <w:marBottom w:val="0"/>
      <w:divBdr>
        <w:top w:val="none" w:color="auto" w:sz="0" w:space="0"/>
        <w:left w:val="none" w:color="auto" w:sz="0" w:space="0"/>
        <w:bottom w:val="none" w:color="auto" w:sz="0" w:space="0"/>
        <w:right w:val="none" w:color="auto" w:sz="0" w:space="0"/>
      </w:divBdr>
    </w:div>
    <w:div w:id="104346669">
      <w:bodyDiv w:val="true"/>
      <w:marLeft w:val="0"/>
      <w:marRight w:val="0"/>
      <w:marTop w:val="0"/>
      <w:marBottom w:val="0"/>
      <w:divBdr>
        <w:top w:val="none" w:color="auto" w:sz="0" w:space="0"/>
        <w:left w:val="none" w:color="auto" w:sz="0" w:space="0"/>
        <w:bottom w:val="none" w:color="auto" w:sz="0" w:space="0"/>
        <w:right w:val="none" w:color="auto" w:sz="0" w:space="0"/>
      </w:divBdr>
    </w:div>
    <w:div w:id="116727864">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56671040">
      <w:bodyDiv w:val="true"/>
      <w:marLeft w:val="0"/>
      <w:marRight w:val="0"/>
      <w:marTop w:val="0"/>
      <w:marBottom w:val="0"/>
      <w:divBdr>
        <w:top w:val="none" w:color="auto" w:sz="0" w:space="0"/>
        <w:left w:val="none" w:color="auto" w:sz="0" w:space="0"/>
        <w:bottom w:val="none" w:color="auto" w:sz="0" w:space="0"/>
        <w:right w:val="none" w:color="auto" w:sz="0" w:space="0"/>
      </w:divBdr>
    </w:div>
    <w:div w:id="290406922">
      <w:bodyDiv w:val="true"/>
      <w:marLeft w:val="0"/>
      <w:marRight w:val="0"/>
      <w:marTop w:val="0"/>
      <w:marBottom w:val="0"/>
      <w:divBdr>
        <w:top w:val="none" w:color="auto" w:sz="0" w:space="0"/>
        <w:left w:val="none" w:color="auto" w:sz="0" w:space="0"/>
        <w:bottom w:val="none" w:color="auto" w:sz="0" w:space="0"/>
        <w:right w:val="none" w:color="auto" w:sz="0" w:space="0"/>
      </w:divBdr>
    </w:div>
    <w:div w:id="359670816">
      <w:bodyDiv w:val="true"/>
      <w:marLeft w:val="0"/>
      <w:marRight w:val="0"/>
      <w:marTop w:val="0"/>
      <w:marBottom w:val="0"/>
      <w:divBdr>
        <w:top w:val="none" w:color="auto" w:sz="0" w:space="0"/>
        <w:left w:val="none" w:color="auto" w:sz="0" w:space="0"/>
        <w:bottom w:val="none" w:color="auto" w:sz="0" w:space="0"/>
        <w:right w:val="none" w:color="auto" w:sz="0" w:space="0"/>
      </w:divBdr>
    </w:div>
    <w:div w:id="415633134">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429738661">
      <w:bodyDiv w:val="true"/>
      <w:marLeft w:val="0"/>
      <w:marRight w:val="0"/>
      <w:marTop w:val="0"/>
      <w:marBottom w:val="0"/>
      <w:divBdr>
        <w:top w:val="none" w:color="auto" w:sz="0" w:space="0"/>
        <w:left w:val="none" w:color="auto" w:sz="0" w:space="0"/>
        <w:bottom w:val="none" w:color="auto" w:sz="0" w:space="0"/>
        <w:right w:val="none" w:color="auto" w:sz="0" w:space="0"/>
      </w:divBdr>
    </w:div>
    <w:div w:id="465195688">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23986314">
      <w:bodyDiv w:val="true"/>
      <w:marLeft w:val="0"/>
      <w:marRight w:val="0"/>
      <w:marTop w:val="0"/>
      <w:marBottom w:val="0"/>
      <w:divBdr>
        <w:top w:val="none" w:color="auto" w:sz="0" w:space="0"/>
        <w:left w:val="none" w:color="auto" w:sz="0" w:space="0"/>
        <w:bottom w:val="none" w:color="auto" w:sz="0" w:space="0"/>
        <w:right w:val="none" w:color="auto" w:sz="0" w:space="0"/>
      </w:divBdr>
    </w:div>
    <w:div w:id="970095441">
      <w:bodyDiv w:val="true"/>
      <w:marLeft w:val="0"/>
      <w:marRight w:val="0"/>
      <w:marTop w:val="0"/>
      <w:marBottom w:val="0"/>
      <w:divBdr>
        <w:top w:val="none" w:color="auto" w:sz="0" w:space="0"/>
        <w:left w:val="none" w:color="auto" w:sz="0" w:space="0"/>
        <w:bottom w:val="none" w:color="auto" w:sz="0" w:space="0"/>
        <w:right w:val="none" w:color="auto" w:sz="0" w:space="0"/>
      </w:divBdr>
    </w:div>
    <w:div w:id="1003242502">
      <w:bodyDiv w:val="true"/>
      <w:marLeft w:val="0"/>
      <w:marRight w:val="0"/>
      <w:marTop w:val="0"/>
      <w:marBottom w:val="0"/>
      <w:divBdr>
        <w:top w:val="none" w:color="auto" w:sz="0" w:space="0"/>
        <w:left w:val="none" w:color="auto" w:sz="0" w:space="0"/>
        <w:bottom w:val="none" w:color="auto" w:sz="0" w:space="0"/>
        <w:right w:val="none" w:color="auto" w:sz="0" w:space="0"/>
      </w:divBdr>
    </w:div>
    <w:div w:id="1031416398">
      <w:bodyDiv w:val="true"/>
      <w:marLeft w:val="0"/>
      <w:marRight w:val="0"/>
      <w:marTop w:val="0"/>
      <w:marBottom w:val="0"/>
      <w:divBdr>
        <w:top w:val="none" w:color="auto" w:sz="0" w:space="0"/>
        <w:left w:val="none" w:color="auto" w:sz="0" w:space="0"/>
        <w:bottom w:val="none" w:color="auto" w:sz="0" w:space="0"/>
        <w:right w:val="none" w:color="auto" w:sz="0" w:space="0"/>
      </w:divBdr>
    </w:div>
    <w:div w:id="1063871580">
      <w:bodyDiv w:val="true"/>
      <w:marLeft w:val="0"/>
      <w:marRight w:val="0"/>
      <w:marTop w:val="0"/>
      <w:marBottom w:val="0"/>
      <w:divBdr>
        <w:top w:val="none" w:color="auto" w:sz="0" w:space="0"/>
        <w:left w:val="none" w:color="auto" w:sz="0" w:space="0"/>
        <w:bottom w:val="none" w:color="auto" w:sz="0" w:space="0"/>
        <w:right w:val="none" w:color="auto" w:sz="0" w:space="0"/>
      </w:divBdr>
    </w:div>
    <w:div w:id="1184131545">
      <w:bodyDiv w:val="true"/>
      <w:marLeft w:val="0"/>
      <w:marRight w:val="0"/>
      <w:marTop w:val="0"/>
      <w:marBottom w:val="0"/>
      <w:divBdr>
        <w:top w:val="none" w:color="auto" w:sz="0" w:space="0"/>
        <w:left w:val="none" w:color="auto" w:sz="0" w:space="0"/>
        <w:bottom w:val="none" w:color="auto" w:sz="0" w:space="0"/>
        <w:right w:val="none" w:color="auto" w:sz="0" w:space="0"/>
      </w:divBdr>
    </w:div>
    <w:div w:id="1225095867">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601833708">
      <w:bodyDiv w:val="true"/>
      <w:marLeft w:val="0"/>
      <w:marRight w:val="0"/>
      <w:marTop w:val="0"/>
      <w:marBottom w:val="0"/>
      <w:divBdr>
        <w:top w:val="none" w:color="auto" w:sz="0" w:space="0"/>
        <w:left w:val="none" w:color="auto" w:sz="0" w:space="0"/>
        <w:bottom w:val="none" w:color="auto" w:sz="0" w:space="0"/>
        <w:right w:val="none" w:color="auto" w:sz="0" w:space="0"/>
      </w:divBdr>
    </w:div>
    <w:div w:id="1990941147">
      <w:bodyDiv w:val="true"/>
      <w:marLeft w:val="0"/>
      <w:marRight w:val="0"/>
      <w:marTop w:val="0"/>
      <w:marBottom w:val="0"/>
      <w:divBdr>
        <w:top w:val="none" w:color="auto" w:sz="0" w:space="0"/>
        <w:left w:val="none" w:color="auto" w:sz="0" w:space="0"/>
        <w:bottom w:val="none" w:color="auto" w:sz="0" w:space="0"/>
        <w:right w:val="none" w:color="auto" w:sz="0" w:space="0"/>
      </w:divBdr>
    </w:div>
    <w:div w:id="1997610696">
      <w:bodyDiv w:val="true"/>
      <w:marLeft w:val="0"/>
      <w:marRight w:val="0"/>
      <w:marTop w:val="0"/>
      <w:marBottom w:val="0"/>
      <w:divBdr>
        <w:top w:val="none" w:color="auto" w:sz="0" w:space="0"/>
        <w:left w:val="none" w:color="auto" w:sz="0" w:space="0"/>
        <w:bottom w:val="none" w:color="auto" w:sz="0" w:space="0"/>
        <w:right w:val="none" w:color="auto" w:sz="0" w:space="0"/>
      </w:divBdr>
    </w:div>
    <w:div w:id="211126871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11. ožujka 2020.</izvorni_sadrzaj>
    <derivirana_varijabla naziv="DomainObject.StvarniPocetakDatum_1">11. ožujka 2020.</derivirana_varijabla>
  </DomainObject.StvarniPocetakDatum>
  <DomainObject.StvarniZavrsetakDatum>
    <izvorni_sadrzaj>11. ožujka 2020.</izvorni_sadrzaj>
    <derivirana_varijabla naziv="DomainObject.StvarniZavrsetakDatum_1">11. ožujka 2020.</derivirana_varijabla>
  </DomainObject.StvarniZavrsetakDatum>
  <DomainObject.PlaniraniZavrsetakDatum>
    <izvorni_sadrzaj>11. ožujka 2020.</izvorni_sadrzaj>
    <derivirana_varijabla naziv="DomainObject.PlaniraniZavrsetakDatum_1">11. ožujka 2020.</derivirana_varijabla>
  </DomainObject.PlaniraniZavrsetakDatum>
  <DomainObject.PlaniraniPocetakDatum>
    <izvorni_sadrzaj>11. ožujka 2020.</izvorni_sadrzaj>
    <derivirana_varijabla naziv="DomainObject.PlaniraniPocetakDatum_1">11. ožujka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11. ožujka 2020.</izvorni_sadrzaj>
    <derivirana_varijabla naziv="DomainObject.Zapisnik.DatumKreiranja_1">11. ožujka 2020.</derivirana_varijabla>
  </DomainObject.Zapisnik.DatumKreiranja>
  <DomainObject.Zapisnik.ImovinskaKorist>
    <izvorni_sadrzaj/>
    <derivirana_varijabla naziv="DomainObject.Zapisnik.ImovinskaKorist_1"/>
  </DomainObject.Zapisnik.ImovinskaKorist>
  <DomainObject.Zapisnik.Oznaka>
    <izvorni_sadrzaj>St-794/2016-326</izvorni_sadrzaj>
    <derivirana_varijabla naziv="DomainObject.Zapisnik.Oznaka_1">St-794/2016-326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
(kopija spisa se čuva u ormaru soba 42)</izvorni_sadrzaj>
    <derivirana_varijabla naziv="DomainObject.Predmet.Opis_1">prigovor pristojba
(kopija spisa se čuva u ormaru soba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tem>Odvjetničko društvo ŠIŠKO i partneri, j.t.d.</item>
      <item>Gordana Knezović</item>
      <item>Tomislav Šiško</item>
      <item>Lada Ćustić</item>
      <item>Ante Vukašina</item>
      <item>Marin Zekanović</item>
      <item>Darko Šuper</item>
      <item>Dalibor Škorput</item>
      <item>Irena Gulan Šimurina</item>
    </izvorni_sadrzaj>
    <derivirana_varijabla naziv="DomainObject.Predmet.OstaliListFormated_1">
      <item>Zdravko Galić</item>
      <item>Odvjetničko društvo ŠIŠKO i partneri, j.t.d.</item>
      <item>Gordana Knezović</item>
      <item>Tomislav Šiško</item>
      <item>Lada Ćustić</item>
      <item>Ante Vukašina</item>
      <item>Marin Zekanović</item>
      <item>Darko Šuper</item>
      <item>Dalibor Škorput</item>
      <item>Irena Gulan Šimurina</item>
    </derivirana_varijabla>
  </DomainObject.Predmet.OstaliListFormated>
  <DomainObject.Predmet.OstaliList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tem>Dalibor Škorput, OIB 94449406848</item>
      <item>Irena Gulan Šimurina, OIB 54720452474</item>
    </izvorni_sadrzaj>
    <derivirana_varijabla naziv="DomainObject.Predmet.OstaliList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tem>Dalibor Škorput, OIB 94449406848</item>
      <item>Irena Gulan Šimurina, OIB 54720452474</item>
    </derivirana_varijabla>
  </DomainObject.Predmet.OstaliListFormatedOIB>
  <DomainObject.Predmet.OstaliListFormatedWithAdress>
    <izvorni_sadrzaj>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item>Dalibor Škorput, Ulica pod bedemom 4/1, 23000 Zadar</item>
      <item>Irena Gulan Šimurina, Stjepana Radića 15, 23000 Zadar</item>
    </izvorni_sadrzaj>
    <derivirana_varijabla naziv="DomainObject.Predmet.OstaliListFormatedWithAdress_1">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item>Dalibor Škorput, Ulica pod bedemom 4/1, 23000 Zadar</item>
      <item>Irena Gulan Šimurina, Stjepana Radića 15, 23000 Zadar</item>
    </derivirana_varijabla>
  </DomainObject.Predmet.OstaliListFormatedWithAdress>
  <DomainObject.Predmet.OstaliListFormatedWithAdressOIB>
    <izvorni_sadrzaj>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item>Dalibor Škorput, OIB 94449406848, Ulica pod bedemom 4/1, 23000 Zadar</item>
      <item>Irena Gulan Šimurina, OIB 54720452474, Stjepana Radića 15, 23000 Zadar</item>
    </izvorni_sadrzaj>
    <derivirana_varijabla naziv="DomainObject.Predmet.OstaliListFormatedWithAdressOIB_1">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item>Dalibor Škorput, OIB 94449406848, Ulica pod bedemom 4/1, 23000 Zadar</item>
      <item>Irena Gulan Šimurina, OIB 54720452474, Stjepana Radića 15, 23000 Zadar</item>
    </derivirana_varijabla>
  </DomainObject.Predmet.OstaliListFormatedWithAdressOIB>
  <DomainObject.Predmet.OstaliListNazivFormated>
    <izvorni_sadrzaj>
      <item>Zdravko Galić</item>
      <item>Odvjetničko društvo ŠIŠKO i partneri, j.t.d.</item>
      <item>Gordana Knezović</item>
      <item>Tomislav Šiško</item>
      <item>Lada Ćustić</item>
      <item>Ante Vukašina</item>
      <item>Marin Zekanović</item>
      <item>Darko Šuper</item>
      <item>Dalibor Škorput</item>
      <item>Irena Gulan Šimurina</item>
    </izvorni_sadrzaj>
    <derivirana_varijabla naziv="DomainObject.Predmet.OstaliListNazivFormated_1">
      <item>Zdravko Galić</item>
      <item>Odvjetničko društvo ŠIŠKO i partneri, j.t.d.</item>
      <item>Gordana Knezović</item>
      <item>Tomislav Šiško</item>
      <item>Lada Ćustić</item>
      <item>Ante Vukašina</item>
      <item>Marin Zekanović</item>
      <item>Darko Šuper</item>
      <item>Dalibor Škorput</item>
      <item>Irena Gulan Šimurina</item>
    </derivirana_varijabla>
  </DomainObject.Predmet.OstaliListNazivFormated>
  <DomainObject.Predmet.OstaliListNaziv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tem>Dalibor Škorput, OIB 94449406848</item>
      <item>Irena Gulan Šimurina, OIB 54720452474</item>
    </izvorni_sadrzaj>
    <derivirana_varijabla naziv="DomainObject.Predmet.OstaliListNaziv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tem>Dalibor Škorput, OIB 94449406848</item>
      <item>Irena Gulan Šimurina, OIB 54720452474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2020.</izvorni_sadrzaj>
    <derivirana_varijabla naziv="DomainObject.Datum_1">11. ožujka 2020.</derivirana_varijabla>
  </DomainObject.Datum>
  <DomainObject.PoslovniBrojDokumenta>
    <izvorni_sadrzaj>St-794/2016-326</izvorni_sadrzaj>
    <derivirana_varijabla naziv="DomainObject.PoslovniBrojDokumenta_1">St-794/2016-326</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item>Dalibor Škorput</item>
      <item>Irena Gulan Šimurina</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item>Dalibor Škorput</item>
      <item>Irena Gulan Šimurina</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item>Dalibor Škorput, OIB 94449406848, Ulica pod bedemom 4/1,23000 Zadar</item>
      <item>Irena Gulan Šimurina, OIB 54720452474, Stjepana Radića 15,23000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item>Dalibor Škorput, OIB 94449406848, Ulica pod bedemom 4/1,23000 Zadar</item>
      <item>Irena Gulan Šimurina, OIB 54720452474, Stjepana Radića 15,23000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item>, OIB 94449406848</item>
      <item>, OIB 54720452474</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item>, OIB 94449406848</item>
      <item>, OIB 54720452474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0B7684-3FD1-45F1-828C-8280181C45DA}">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1724</properties:Words>
  <properties:Characters>9912</properties:Characters>
  <properties:Lines>290</properties:Lines>
  <properties:Paragraphs>94</properties:Paragraphs>
  <properties:TotalTime>91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2020-03-09T13:17:00Z</dcterms:created>
  <dc:creator>Ardena Bajlo</dc:creator>
  <cp:lastModifiedBy>Martina Kalmeta</cp:lastModifiedBy>
  <cp:lastPrinted>2020-03-11T09:30:00Z</cp:lastPrinted>
  <dcterms:modified xmlns:xsi="http://www.w3.org/2001/XMLSchema-instance" xsi:type="dcterms:W3CDTF">2020-03-11T10:13:00Z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St-794/2016-326 / Zapisnik - Skupština vjerovnika (St-794-16_Zapisnik_-_skupština_11.03.2020..docx)</vt:lpwstr>
  </prop:property>
  <prop:property fmtid="{D5CDD505-2E9C-101B-9397-08002B2CF9AE}" pid="4" name="CC_coloring">
    <vt:bool>false</vt:bool>
  </prop:property>
  <prop:property fmtid="{D5CDD505-2E9C-101B-9397-08002B2CF9AE}" pid="5" name="BrojStranica">
    <vt:i4>5</vt:i4>
  </prop:property>
</prop:Properties>
</file>